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4A0" w:rsidRPr="00295146" w:rsidRDefault="0020614C" w:rsidP="00E6659B">
      <w:pPr>
        <w:spacing w:line="320" w:lineRule="atLeast"/>
        <w:jc w:val="both"/>
        <w:rPr>
          <w:rFonts w:asciiTheme="minorHAnsi" w:hAnsiTheme="minorHAnsi" w:cstheme="minorHAnsi"/>
          <w:sz w:val="22"/>
          <w:szCs w:val="22"/>
        </w:rPr>
      </w:pPr>
      <w:r>
        <w:rPr>
          <w:rFonts w:asciiTheme="minorHAnsi" w:hAnsiTheme="minorHAnsi" w:cstheme="minorHAnsi"/>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pt;margin-top:49.7pt;width:77.3pt;height:107.6pt;z-index:251657728;mso-position-vertical-relative:page" o:allowincell="f">
            <v:imagedata r:id="rId6" o:title=""/>
            <w10:wrap type="square" anchory="page"/>
          </v:shape>
          <o:OLEObject Type="Embed" ProgID="MSPhotoEd.3" ShapeID="_x0000_s1026" DrawAspect="Content" ObjectID="_1588768361" r:id="rId7"/>
        </w:object>
      </w:r>
      <w:r w:rsidR="00482F43" w:rsidRPr="00295146">
        <w:rPr>
          <w:rFonts w:asciiTheme="minorHAnsi" w:hAnsiTheme="minorHAnsi" w:cstheme="minorHAnsi"/>
          <w:sz w:val="22"/>
          <w:szCs w:val="22"/>
        </w:rPr>
        <w:t>FORMULÁRIO DE COMENTÁRIOS E SUGESTÕES</w:t>
      </w:r>
    </w:p>
    <w:p w:rsidR="001F74A0" w:rsidRPr="00295146" w:rsidRDefault="002808DC" w:rsidP="00E6659B">
      <w:pPr>
        <w:spacing w:line="320" w:lineRule="atLeast"/>
        <w:jc w:val="both"/>
        <w:rPr>
          <w:rFonts w:asciiTheme="minorHAnsi" w:hAnsiTheme="minorHAnsi" w:cstheme="minorHAnsi"/>
          <w:sz w:val="22"/>
          <w:szCs w:val="22"/>
        </w:rPr>
      </w:pPr>
      <w:r w:rsidRPr="00295146">
        <w:rPr>
          <w:rFonts w:asciiTheme="minorHAnsi" w:hAnsiTheme="minorHAnsi" w:cstheme="minorHAnsi"/>
          <w:sz w:val="22"/>
          <w:szCs w:val="22"/>
        </w:rPr>
        <w:t>CONSULTA PÚ</w:t>
      </w:r>
      <w:r w:rsidR="00482F43" w:rsidRPr="00295146">
        <w:rPr>
          <w:rFonts w:asciiTheme="minorHAnsi" w:hAnsiTheme="minorHAnsi" w:cstheme="minorHAnsi"/>
          <w:sz w:val="22"/>
          <w:szCs w:val="22"/>
        </w:rPr>
        <w:t>BLICA N°</w:t>
      </w:r>
      <w:r w:rsidR="003D1124" w:rsidRPr="00295146">
        <w:rPr>
          <w:rFonts w:asciiTheme="minorHAnsi" w:hAnsiTheme="minorHAnsi" w:cstheme="minorHAnsi"/>
          <w:sz w:val="22"/>
          <w:szCs w:val="22"/>
        </w:rPr>
        <w:t xml:space="preserve"> </w:t>
      </w:r>
      <w:r w:rsidR="00902444" w:rsidRPr="00295146">
        <w:rPr>
          <w:rFonts w:asciiTheme="minorHAnsi" w:hAnsiTheme="minorHAnsi" w:cstheme="minorHAnsi"/>
          <w:sz w:val="22"/>
          <w:szCs w:val="22"/>
        </w:rPr>
        <w:t>10</w:t>
      </w:r>
      <w:r w:rsidR="007E2803" w:rsidRPr="00295146">
        <w:rPr>
          <w:rFonts w:asciiTheme="minorHAnsi" w:hAnsiTheme="minorHAnsi" w:cstheme="minorHAnsi"/>
          <w:sz w:val="22"/>
          <w:szCs w:val="22"/>
        </w:rPr>
        <w:t>/2018</w:t>
      </w:r>
      <w:r w:rsidR="00482F43" w:rsidRPr="00295146">
        <w:rPr>
          <w:rFonts w:asciiTheme="minorHAnsi" w:hAnsiTheme="minorHAnsi" w:cstheme="minorHAnsi"/>
          <w:sz w:val="22"/>
          <w:szCs w:val="22"/>
        </w:rPr>
        <w:t xml:space="preserve"> </w:t>
      </w:r>
      <w:r w:rsidR="003D1124" w:rsidRPr="00295146">
        <w:rPr>
          <w:rFonts w:asciiTheme="minorHAnsi" w:hAnsiTheme="minorHAnsi" w:cstheme="minorHAnsi"/>
          <w:sz w:val="22"/>
          <w:szCs w:val="22"/>
        </w:rPr>
        <w:t>–</w:t>
      </w:r>
      <w:r w:rsidR="00482F43" w:rsidRPr="00295146">
        <w:rPr>
          <w:rFonts w:asciiTheme="minorHAnsi" w:hAnsiTheme="minorHAnsi" w:cstheme="minorHAnsi"/>
          <w:sz w:val="22"/>
          <w:szCs w:val="22"/>
        </w:rPr>
        <w:t xml:space="preserve"> </w:t>
      </w:r>
      <w:r w:rsidR="000E37D1" w:rsidRPr="00295146">
        <w:rPr>
          <w:rFonts w:asciiTheme="minorHAnsi" w:hAnsiTheme="minorHAnsi" w:cstheme="minorHAnsi"/>
          <w:sz w:val="22"/>
          <w:szCs w:val="22"/>
        </w:rPr>
        <w:t>de</w:t>
      </w:r>
      <w:r w:rsidR="003D1124" w:rsidRPr="00295146">
        <w:rPr>
          <w:rFonts w:asciiTheme="minorHAnsi" w:hAnsiTheme="minorHAnsi" w:cstheme="minorHAnsi"/>
          <w:sz w:val="22"/>
          <w:szCs w:val="22"/>
        </w:rPr>
        <w:t xml:space="preserve"> </w:t>
      </w:r>
      <w:r w:rsidR="00902444" w:rsidRPr="00295146">
        <w:rPr>
          <w:rFonts w:asciiTheme="minorHAnsi" w:hAnsiTheme="minorHAnsi" w:cstheme="minorHAnsi"/>
          <w:sz w:val="22"/>
          <w:szCs w:val="22"/>
        </w:rPr>
        <w:t>11</w:t>
      </w:r>
      <w:r w:rsidR="00BB004F" w:rsidRPr="00295146">
        <w:rPr>
          <w:rFonts w:asciiTheme="minorHAnsi" w:hAnsiTheme="minorHAnsi" w:cstheme="minorHAnsi"/>
          <w:sz w:val="22"/>
          <w:szCs w:val="22"/>
        </w:rPr>
        <w:t>/</w:t>
      </w:r>
      <w:r w:rsidR="000E37D1" w:rsidRPr="00295146">
        <w:rPr>
          <w:rFonts w:asciiTheme="minorHAnsi" w:hAnsiTheme="minorHAnsi" w:cstheme="minorHAnsi"/>
          <w:sz w:val="22"/>
          <w:szCs w:val="22"/>
        </w:rPr>
        <w:t>0</w:t>
      </w:r>
      <w:r w:rsidR="00083473" w:rsidRPr="00295146">
        <w:rPr>
          <w:rFonts w:asciiTheme="minorHAnsi" w:hAnsiTheme="minorHAnsi" w:cstheme="minorHAnsi"/>
          <w:sz w:val="22"/>
          <w:szCs w:val="22"/>
        </w:rPr>
        <w:t>5</w:t>
      </w:r>
      <w:r w:rsidR="00BB004F" w:rsidRPr="00295146">
        <w:rPr>
          <w:rFonts w:asciiTheme="minorHAnsi" w:hAnsiTheme="minorHAnsi" w:cstheme="minorHAnsi"/>
          <w:sz w:val="22"/>
          <w:szCs w:val="22"/>
        </w:rPr>
        <w:t>/</w:t>
      </w:r>
      <w:r w:rsidR="000E37D1" w:rsidRPr="00295146">
        <w:rPr>
          <w:rFonts w:asciiTheme="minorHAnsi" w:hAnsiTheme="minorHAnsi" w:cstheme="minorHAnsi"/>
          <w:sz w:val="22"/>
          <w:szCs w:val="22"/>
        </w:rPr>
        <w:t>201</w:t>
      </w:r>
      <w:r w:rsidR="007E2803" w:rsidRPr="00295146">
        <w:rPr>
          <w:rFonts w:asciiTheme="minorHAnsi" w:hAnsiTheme="minorHAnsi" w:cstheme="minorHAnsi"/>
          <w:sz w:val="22"/>
          <w:szCs w:val="22"/>
        </w:rPr>
        <w:t>8</w:t>
      </w:r>
      <w:r w:rsidR="00C13A89" w:rsidRPr="00295146">
        <w:rPr>
          <w:rFonts w:asciiTheme="minorHAnsi" w:hAnsiTheme="minorHAnsi" w:cstheme="minorHAnsi"/>
          <w:sz w:val="22"/>
          <w:szCs w:val="22"/>
        </w:rPr>
        <w:t xml:space="preserve"> a</w:t>
      </w:r>
      <w:r w:rsidR="00BF7D73" w:rsidRPr="00295146">
        <w:rPr>
          <w:rFonts w:asciiTheme="minorHAnsi" w:hAnsiTheme="minorHAnsi" w:cstheme="minorHAnsi"/>
          <w:sz w:val="22"/>
          <w:szCs w:val="22"/>
        </w:rPr>
        <w:t xml:space="preserve"> </w:t>
      </w:r>
      <w:r w:rsidR="00902444" w:rsidRPr="00295146">
        <w:rPr>
          <w:rFonts w:asciiTheme="minorHAnsi" w:hAnsiTheme="minorHAnsi" w:cstheme="minorHAnsi"/>
          <w:sz w:val="22"/>
          <w:szCs w:val="22"/>
        </w:rPr>
        <w:t>25</w:t>
      </w:r>
      <w:r w:rsidR="000F597D" w:rsidRPr="00295146">
        <w:rPr>
          <w:rFonts w:asciiTheme="minorHAnsi" w:hAnsiTheme="minorHAnsi" w:cstheme="minorHAnsi"/>
          <w:sz w:val="22"/>
          <w:szCs w:val="22"/>
        </w:rPr>
        <w:t>/0</w:t>
      </w:r>
      <w:r w:rsidR="00083473" w:rsidRPr="00295146">
        <w:rPr>
          <w:rFonts w:asciiTheme="minorHAnsi" w:hAnsiTheme="minorHAnsi" w:cstheme="minorHAnsi"/>
          <w:sz w:val="22"/>
          <w:szCs w:val="22"/>
        </w:rPr>
        <w:t>5</w:t>
      </w:r>
      <w:r w:rsidR="00BB004F" w:rsidRPr="00295146">
        <w:rPr>
          <w:rFonts w:asciiTheme="minorHAnsi" w:hAnsiTheme="minorHAnsi" w:cstheme="minorHAnsi"/>
          <w:sz w:val="22"/>
          <w:szCs w:val="22"/>
        </w:rPr>
        <w:t>/</w:t>
      </w:r>
      <w:r w:rsidR="007E2803" w:rsidRPr="00295146">
        <w:rPr>
          <w:rFonts w:asciiTheme="minorHAnsi" w:hAnsiTheme="minorHAnsi" w:cstheme="minorHAnsi"/>
          <w:sz w:val="22"/>
          <w:szCs w:val="22"/>
        </w:rPr>
        <w:t>2018</w:t>
      </w:r>
    </w:p>
    <w:p w:rsidR="00C13A89" w:rsidRPr="00295146" w:rsidRDefault="00C13A89" w:rsidP="00E6659B">
      <w:pPr>
        <w:spacing w:line="320" w:lineRule="atLeast"/>
        <w:jc w:val="both"/>
        <w:rPr>
          <w:rFonts w:asciiTheme="minorHAnsi" w:hAnsiTheme="minorHAnsi" w:cstheme="minorHAnsi"/>
          <w:sz w:val="22"/>
          <w:szCs w:val="22"/>
        </w:rPr>
      </w:pPr>
    </w:p>
    <w:p w:rsidR="001F74A0" w:rsidRPr="00295146" w:rsidRDefault="00BD5993" w:rsidP="00E6659B">
      <w:pPr>
        <w:spacing w:line="320" w:lineRule="atLeast"/>
        <w:ind w:left="4111"/>
        <w:jc w:val="both"/>
        <w:rPr>
          <w:rFonts w:asciiTheme="minorHAnsi" w:hAnsiTheme="minorHAnsi" w:cstheme="minorHAnsi"/>
          <w:sz w:val="22"/>
          <w:szCs w:val="22"/>
        </w:rPr>
      </w:pPr>
      <w:r w:rsidRPr="00295146">
        <w:rPr>
          <w:rFonts w:asciiTheme="minorHAnsi" w:hAnsiTheme="minorHAnsi" w:cstheme="minorHAnsi"/>
          <w:sz w:val="22"/>
          <w:szCs w:val="22"/>
        </w:rPr>
        <w:t>NOME</w:t>
      </w:r>
      <w:r w:rsidR="00C13A89" w:rsidRPr="00295146">
        <w:rPr>
          <w:rFonts w:asciiTheme="minorHAnsi" w:hAnsiTheme="minorHAnsi" w:cstheme="minorHAnsi"/>
          <w:sz w:val="22"/>
          <w:szCs w:val="22"/>
        </w:rPr>
        <w:t>:</w:t>
      </w:r>
      <w:r w:rsidR="0000478E" w:rsidRPr="00295146">
        <w:rPr>
          <w:rFonts w:asciiTheme="minorHAnsi" w:hAnsiTheme="minorHAnsi" w:cstheme="minorHAnsi"/>
          <w:sz w:val="22"/>
          <w:szCs w:val="22"/>
        </w:rPr>
        <w:t xml:space="preserve"> </w:t>
      </w:r>
      <w:bookmarkStart w:id="0" w:name="_GoBack"/>
      <w:r w:rsidR="0000478E" w:rsidRPr="00295146">
        <w:rPr>
          <w:rFonts w:asciiTheme="minorHAnsi" w:eastAsia="Calibri" w:hAnsiTheme="minorHAnsi" w:cstheme="minorHAnsi"/>
          <w:b/>
          <w:sz w:val="22"/>
          <w:szCs w:val="22"/>
        </w:rPr>
        <w:t>UNICA – UNIÃO DA AGROINDÚSTRIA CANAVIEIRA DO ESTADO DE SÃO PAULO</w:t>
      </w:r>
      <w:bookmarkEnd w:id="0"/>
    </w:p>
    <w:p w:rsidR="00100689" w:rsidRPr="00295146" w:rsidRDefault="00100689" w:rsidP="00E6659B">
      <w:pPr>
        <w:spacing w:line="320" w:lineRule="atLeast"/>
        <w:ind w:left="4111"/>
        <w:jc w:val="both"/>
        <w:rPr>
          <w:rFonts w:asciiTheme="minorHAnsi" w:hAnsiTheme="minorHAnsi" w:cstheme="minorHAnsi"/>
          <w:sz w:val="22"/>
          <w:szCs w:val="22"/>
        </w:rPr>
      </w:pPr>
    </w:p>
    <w:tbl>
      <w:tblPr>
        <w:tblW w:w="14342" w:type="dxa"/>
        <w:tblInd w:w="-147" w:type="dxa"/>
        <w:tblCellMar>
          <w:left w:w="0" w:type="dxa"/>
          <w:right w:w="0" w:type="dxa"/>
        </w:tblCellMar>
        <w:tblLook w:val="0000" w:firstRow="0" w:lastRow="0" w:firstColumn="0" w:lastColumn="0" w:noHBand="0" w:noVBand="0"/>
      </w:tblPr>
      <w:tblGrid>
        <w:gridCol w:w="25"/>
        <w:gridCol w:w="2669"/>
        <w:gridCol w:w="25"/>
        <w:gridCol w:w="4464"/>
        <w:gridCol w:w="1464"/>
        <w:gridCol w:w="25"/>
        <w:gridCol w:w="5645"/>
        <w:gridCol w:w="25"/>
      </w:tblGrid>
      <w:tr w:rsidR="00BD5993" w:rsidRPr="00295146" w:rsidTr="007D7833">
        <w:trPr>
          <w:gridBefore w:val="1"/>
          <w:wBefore w:w="25" w:type="dxa"/>
          <w:trHeight w:val="1080"/>
        </w:trPr>
        <w:tc>
          <w:tcPr>
            <w:tcW w:w="7158" w:type="dxa"/>
            <w:gridSpan w:val="3"/>
            <w:tcBorders>
              <w:top w:val="single" w:sz="4" w:space="0" w:color="auto"/>
              <w:left w:val="single" w:sz="4" w:space="0" w:color="auto"/>
              <w:bottom w:val="single" w:sz="4" w:space="0" w:color="auto"/>
            </w:tcBorders>
            <w:shd w:val="clear" w:color="auto" w:fill="FFFFFF"/>
            <w:tcMar>
              <w:top w:w="20" w:type="dxa"/>
              <w:left w:w="20" w:type="dxa"/>
              <w:bottom w:w="0" w:type="dxa"/>
              <w:right w:w="20" w:type="dxa"/>
            </w:tcMar>
            <w:vAlign w:val="center"/>
          </w:tcPr>
          <w:p w:rsidR="00BD5993" w:rsidRPr="00295146" w:rsidRDefault="00BD5993" w:rsidP="00E6659B">
            <w:pPr>
              <w:pStyle w:val="Legenda"/>
              <w:spacing w:line="320" w:lineRule="atLeast"/>
              <w:ind w:firstLine="264"/>
              <w:jc w:val="both"/>
              <w:rPr>
                <w:rFonts w:asciiTheme="minorHAnsi" w:hAnsiTheme="minorHAnsi" w:cstheme="minorHAnsi"/>
                <w:color w:val="000000"/>
                <w:sz w:val="22"/>
                <w:szCs w:val="22"/>
              </w:rPr>
            </w:pPr>
            <w:proofErr w:type="gramStart"/>
            <w:r w:rsidRPr="00295146">
              <w:rPr>
                <w:rFonts w:asciiTheme="minorHAnsi" w:hAnsiTheme="minorHAnsi" w:cstheme="minorHAnsi"/>
                <w:color w:val="000000"/>
                <w:sz w:val="22"/>
                <w:szCs w:val="22"/>
              </w:rPr>
              <w:t>(  )</w:t>
            </w:r>
            <w:proofErr w:type="gramEnd"/>
            <w:r w:rsidRPr="00295146">
              <w:rPr>
                <w:rFonts w:asciiTheme="minorHAnsi" w:hAnsiTheme="minorHAnsi" w:cstheme="minorHAnsi"/>
                <w:color w:val="000000"/>
                <w:sz w:val="22"/>
                <w:szCs w:val="22"/>
              </w:rPr>
              <w:t xml:space="preserve"> agente econômico </w:t>
            </w:r>
          </w:p>
          <w:p w:rsidR="00BD5993" w:rsidRPr="00295146" w:rsidRDefault="00BD5993" w:rsidP="00E6659B">
            <w:pPr>
              <w:spacing w:line="320" w:lineRule="atLeast"/>
              <w:ind w:firstLine="264"/>
              <w:jc w:val="both"/>
              <w:rPr>
                <w:rFonts w:asciiTheme="minorHAnsi" w:hAnsiTheme="minorHAnsi" w:cstheme="minorHAnsi"/>
                <w:color w:val="000000"/>
                <w:sz w:val="22"/>
                <w:szCs w:val="22"/>
              </w:rPr>
            </w:pPr>
            <w:proofErr w:type="gramStart"/>
            <w:r w:rsidRPr="00295146">
              <w:rPr>
                <w:rFonts w:asciiTheme="minorHAnsi" w:hAnsiTheme="minorHAnsi" w:cstheme="minorHAnsi"/>
                <w:color w:val="000000"/>
                <w:sz w:val="22"/>
                <w:szCs w:val="22"/>
              </w:rPr>
              <w:t>(  )</w:t>
            </w:r>
            <w:proofErr w:type="gramEnd"/>
            <w:r w:rsidRPr="00295146">
              <w:rPr>
                <w:rFonts w:asciiTheme="minorHAnsi" w:hAnsiTheme="minorHAnsi" w:cstheme="minorHAnsi"/>
                <w:color w:val="000000"/>
                <w:sz w:val="22"/>
                <w:szCs w:val="22"/>
              </w:rPr>
              <w:t xml:space="preserve"> consumidor ou usuário</w:t>
            </w:r>
          </w:p>
        </w:tc>
        <w:tc>
          <w:tcPr>
            <w:tcW w:w="7159" w:type="dxa"/>
            <w:gridSpan w:val="4"/>
            <w:tcBorders>
              <w:top w:val="single" w:sz="4" w:space="0" w:color="auto"/>
              <w:bottom w:val="single" w:sz="4" w:space="0" w:color="auto"/>
              <w:right w:val="single" w:sz="4" w:space="0" w:color="auto"/>
            </w:tcBorders>
            <w:shd w:val="clear" w:color="auto" w:fill="FFFFFF"/>
            <w:vAlign w:val="center"/>
          </w:tcPr>
          <w:p w:rsidR="00BD5993" w:rsidRPr="00295146" w:rsidRDefault="00BD5993" w:rsidP="00E6659B">
            <w:pPr>
              <w:pStyle w:val="Legenda"/>
              <w:spacing w:line="320" w:lineRule="atLeast"/>
              <w:ind w:left="23" w:firstLine="332"/>
              <w:jc w:val="both"/>
              <w:rPr>
                <w:rFonts w:asciiTheme="minorHAnsi" w:hAnsiTheme="minorHAnsi" w:cstheme="minorHAnsi"/>
                <w:color w:val="000000"/>
                <w:sz w:val="22"/>
                <w:szCs w:val="22"/>
              </w:rPr>
            </w:pPr>
            <w:proofErr w:type="gramStart"/>
            <w:r w:rsidRPr="00295146">
              <w:rPr>
                <w:rFonts w:asciiTheme="minorHAnsi" w:hAnsiTheme="minorHAnsi" w:cstheme="minorHAnsi"/>
                <w:color w:val="000000"/>
                <w:sz w:val="22"/>
                <w:szCs w:val="22"/>
              </w:rPr>
              <w:t xml:space="preserve">( </w:t>
            </w:r>
            <w:r w:rsidR="0000478E" w:rsidRPr="00295146">
              <w:rPr>
                <w:rFonts w:asciiTheme="minorHAnsi" w:hAnsiTheme="minorHAnsi" w:cstheme="minorHAnsi"/>
                <w:color w:val="000000"/>
                <w:sz w:val="22"/>
                <w:szCs w:val="22"/>
              </w:rPr>
              <w:t>x</w:t>
            </w:r>
            <w:proofErr w:type="gramEnd"/>
            <w:r w:rsidRPr="00295146">
              <w:rPr>
                <w:rFonts w:asciiTheme="minorHAnsi" w:hAnsiTheme="minorHAnsi" w:cstheme="minorHAnsi"/>
                <w:color w:val="000000"/>
                <w:sz w:val="22"/>
                <w:szCs w:val="22"/>
              </w:rPr>
              <w:t xml:space="preserve"> ) representante órgão de classe ou associação</w:t>
            </w:r>
          </w:p>
          <w:p w:rsidR="00BD5993" w:rsidRPr="00295146" w:rsidRDefault="00BD5993" w:rsidP="00E6659B">
            <w:pPr>
              <w:pStyle w:val="Legenda"/>
              <w:spacing w:line="320" w:lineRule="atLeast"/>
              <w:ind w:left="23" w:firstLine="332"/>
              <w:jc w:val="both"/>
              <w:rPr>
                <w:rFonts w:asciiTheme="minorHAnsi" w:hAnsiTheme="minorHAnsi" w:cstheme="minorHAnsi"/>
                <w:color w:val="000000"/>
                <w:sz w:val="22"/>
                <w:szCs w:val="22"/>
              </w:rPr>
            </w:pPr>
            <w:proofErr w:type="gramStart"/>
            <w:r w:rsidRPr="00295146">
              <w:rPr>
                <w:rFonts w:asciiTheme="minorHAnsi" w:hAnsiTheme="minorHAnsi" w:cstheme="minorHAnsi"/>
                <w:color w:val="000000"/>
                <w:sz w:val="22"/>
                <w:szCs w:val="22"/>
              </w:rPr>
              <w:t>(  )</w:t>
            </w:r>
            <w:proofErr w:type="gramEnd"/>
            <w:r w:rsidRPr="00295146">
              <w:rPr>
                <w:rFonts w:asciiTheme="minorHAnsi" w:hAnsiTheme="minorHAnsi" w:cstheme="minorHAnsi"/>
                <w:color w:val="000000"/>
                <w:sz w:val="22"/>
                <w:szCs w:val="22"/>
              </w:rPr>
              <w:t xml:space="preserve"> representante de instituição governamental</w:t>
            </w:r>
          </w:p>
          <w:p w:rsidR="00BD5993" w:rsidRPr="00295146" w:rsidRDefault="00BD5993" w:rsidP="00E6659B">
            <w:pPr>
              <w:spacing w:line="320" w:lineRule="atLeast"/>
              <w:ind w:firstLine="355"/>
              <w:jc w:val="both"/>
              <w:rPr>
                <w:rFonts w:asciiTheme="minorHAnsi" w:hAnsiTheme="minorHAnsi" w:cstheme="minorHAnsi"/>
                <w:color w:val="000000"/>
                <w:sz w:val="22"/>
                <w:szCs w:val="22"/>
              </w:rPr>
            </w:pPr>
            <w:proofErr w:type="gramStart"/>
            <w:r w:rsidRPr="00295146">
              <w:rPr>
                <w:rFonts w:asciiTheme="minorHAnsi" w:hAnsiTheme="minorHAnsi" w:cstheme="minorHAnsi"/>
                <w:color w:val="000000"/>
                <w:sz w:val="22"/>
                <w:szCs w:val="22"/>
              </w:rPr>
              <w:t>(  )</w:t>
            </w:r>
            <w:proofErr w:type="gramEnd"/>
            <w:r w:rsidRPr="00295146">
              <w:rPr>
                <w:rFonts w:asciiTheme="minorHAnsi" w:hAnsiTheme="minorHAnsi" w:cstheme="minorHAnsi"/>
                <w:color w:val="000000"/>
                <w:sz w:val="22"/>
                <w:szCs w:val="22"/>
              </w:rPr>
              <w:t xml:space="preserve"> representante de órgãos de defesa do consumidor</w:t>
            </w:r>
          </w:p>
        </w:tc>
      </w:tr>
      <w:tr w:rsidR="004602FD" w:rsidRPr="00295146" w:rsidTr="007D7833">
        <w:trPr>
          <w:gridBefore w:val="1"/>
          <w:wBefore w:w="25" w:type="dxa"/>
          <w:trHeight w:val="1220"/>
        </w:trPr>
        <w:tc>
          <w:tcPr>
            <w:tcW w:w="14317" w:type="dxa"/>
            <w:gridSpan w:val="7"/>
            <w:tcBorders>
              <w:top w:val="single" w:sz="4" w:space="0" w:color="auto"/>
              <w:left w:val="single" w:sz="4" w:space="0" w:color="auto"/>
              <w:bottom w:val="single" w:sz="4" w:space="0" w:color="auto"/>
              <w:right w:val="single" w:sz="4" w:space="0" w:color="auto"/>
            </w:tcBorders>
            <w:shd w:val="clear" w:color="auto" w:fill="70B56B"/>
            <w:tcMar>
              <w:top w:w="20" w:type="dxa"/>
              <w:left w:w="20" w:type="dxa"/>
              <w:bottom w:w="0" w:type="dxa"/>
              <w:right w:w="20" w:type="dxa"/>
            </w:tcMar>
            <w:vAlign w:val="center"/>
          </w:tcPr>
          <w:p w:rsidR="00BB004F" w:rsidRPr="00295146" w:rsidRDefault="005D66E3" w:rsidP="00E6659B">
            <w:pPr>
              <w:suppressAutoHyphens/>
              <w:spacing w:line="320" w:lineRule="atLeast"/>
              <w:jc w:val="both"/>
              <w:rPr>
                <w:rFonts w:asciiTheme="minorHAnsi" w:hAnsiTheme="minorHAnsi" w:cstheme="minorHAnsi"/>
                <w:sz w:val="22"/>
                <w:szCs w:val="22"/>
              </w:rPr>
            </w:pPr>
            <w:r w:rsidRPr="00295146">
              <w:rPr>
                <w:rFonts w:asciiTheme="minorHAnsi" w:hAnsiTheme="minorHAnsi" w:cstheme="minorHAnsi"/>
                <w:sz w:val="22"/>
                <w:szCs w:val="22"/>
              </w:rPr>
              <w:t xml:space="preserve">Consulta Pública sobre </w:t>
            </w:r>
            <w:r w:rsidR="00C6564E" w:rsidRPr="00295146">
              <w:rPr>
                <w:rFonts w:asciiTheme="minorHAnsi" w:hAnsiTheme="minorHAnsi" w:cstheme="minorHAnsi"/>
                <w:sz w:val="22"/>
                <w:szCs w:val="22"/>
              </w:rPr>
              <w:t>nova regulamentação do credenciamento de firmas inspetoras visando a certificação de biocombustíveis, conforme a Lei nº 13.576, de 26/12/2017, regulamentada pelo Decreto nº 9.308, de 15/03/2018, ato este que, entre outros, dispõe sobre as atribuições da ANP no RenovaBio</w:t>
            </w:r>
            <w:r w:rsidR="007E2803" w:rsidRPr="00295146">
              <w:rPr>
                <w:rFonts w:asciiTheme="minorHAnsi" w:hAnsiTheme="minorHAnsi" w:cstheme="minorHAnsi"/>
                <w:sz w:val="22"/>
                <w:szCs w:val="22"/>
              </w:rPr>
              <w:t>.</w:t>
            </w:r>
          </w:p>
        </w:tc>
      </w:tr>
      <w:tr w:rsidR="00C13A89" w:rsidRPr="00295146" w:rsidTr="007D7833">
        <w:trPr>
          <w:gridBefore w:val="1"/>
          <w:wBefore w:w="25" w:type="dxa"/>
          <w:trHeight w:val="330"/>
        </w:trPr>
        <w:tc>
          <w:tcPr>
            <w:tcW w:w="2694" w:type="dxa"/>
            <w:gridSpan w:val="2"/>
            <w:tcBorders>
              <w:top w:val="single" w:sz="4" w:space="0" w:color="auto"/>
              <w:left w:val="single" w:sz="4" w:space="0" w:color="auto"/>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295146" w:rsidRDefault="00C13A89" w:rsidP="00E6659B">
            <w:pPr>
              <w:spacing w:line="320" w:lineRule="atLeast"/>
              <w:jc w:val="both"/>
              <w:rPr>
                <w:rFonts w:asciiTheme="minorHAnsi" w:eastAsia="Arial Unicode MS" w:hAnsiTheme="minorHAnsi" w:cstheme="minorHAnsi"/>
                <w:sz w:val="22"/>
                <w:szCs w:val="22"/>
              </w:rPr>
            </w:pPr>
            <w:r w:rsidRPr="00295146">
              <w:rPr>
                <w:rFonts w:asciiTheme="minorHAnsi" w:hAnsiTheme="minorHAnsi" w:cstheme="minorHAnsi"/>
                <w:sz w:val="22"/>
                <w:szCs w:val="22"/>
              </w:rPr>
              <w:t>ARTIGO DA MINUTA</w:t>
            </w:r>
          </w:p>
        </w:tc>
        <w:tc>
          <w:tcPr>
            <w:tcW w:w="5953" w:type="dxa"/>
            <w:gridSpan w:val="3"/>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295146" w:rsidRDefault="00C13A89" w:rsidP="00E6659B">
            <w:pPr>
              <w:spacing w:line="320" w:lineRule="atLeast"/>
              <w:jc w:val="both"/>
              <w:rPr>
                <w:rFonts w:asciiTheme="minorHAnsi" w:eastAsia="Arial Unicode MS" w:hAnsiTheme="minorHAnsi" w:cstheme="minorHAnsi"/>
                <w:sz w:val="22"/>
                <w:szCs w:val="22"/>
              </w:rPr>
            </w:pPr>
            <w:r w:rsidRPr="00295146">
              <w:rPr>
                <w:rFonts w:asciiTheme="minorHAnsi" w:hAnsiTheme="minorHAnsi" w:cstheme="minorHAnsi"/>
                <w:sz w:val="22"/>
                <w:szCs w:val="22"/>
              </w:rPr>
              <w:t>PROPOSTA DE ALTERAÇÃO</w:t>
            </w:r>
          </w:p>
        </w:tc>
        <w:tc>
          <w:tcPr>
            <w:tcW w:w="5670" w:type="dxa"/>
            <w:gridSpan w:val="2"/>
            <w:tcBorders>
              <w:top w:val="single" w:sz="4" w:space="0" w:color="auto"/>
              <w:left w:val="nil"/>
              <w:bottom w:val="single" w:sz="4" w:space="0" w:color="auto"/>
              <w:right w:val="single" w:sz="4" w:space="0" w:color="auto"/>
            </w:tcBorders>
            <w:shd w:val="clear" w:color="auto" w:fill="C2D69B"/>
            <w:tcMar>
              <w:top w:w="20" w:type="dxa"/>
              <w:left w:w="20" w:type="dxa"/>
              <w:bottom w:w="0" w:type="dxa"/>
              <w:right w:w="20" w:type="dxa"/>
            </w:tcMar>
            <w:vAlign w:val="center"/>
          </w:tcPr>
          <w:p w:rsidR="00C13A89" w:rsidRPr="00295146" w:rsidRDefault="00C13A89" w:rsidP="00E6659B">
            <w:pPr>
              <w:spacing w:line="320" w:lineRule="atLeast"/>
              <w:jc w:val="both"/>
              <w:rPr>
                <w:rFonts w:asciiTheme="minorHAnsi" w:eastAsia="Arial Unicode MS" w:hAnsiTheme="minorHAnsi" w:cstheme="minorHAnsi"/>
                <w:sz w:val="22"/>
                <w:szCs w:val="22"/>
              </w:rPr>
            </w:pPr>
            <w:r w:rsidRPr="00295146">
              <w:rPr>
                <w:rFonts w:asciiTheme="minorHAnsi" w:hAnsiTheme="minorHAnsi" w:cstheme="minorHAnsi"/>
                <w:sz w:val="22"/>
                <w:szCs w:val="22"/>
              </w:rPr>
              <w:t>JUSTIFICATIVA</w:t>
            </w:r>
          </w:p>
        </w:tc>
      </w:tr>
      <w:tr w:rsidR="001950B9" w:rsidRPr="00295146" w:rsidTr="007D7833">
        <w:trPr>
          <w:gridBefore w:val="1"/>
          <w:wBefore w:w="25" w:type="dxa"/>
          <w:trHeight w:val="704"/>
        </w:trPr>
        <w:tc>
          <w:tcPr>
            <w:tcW w:w="14317" w:type="dxa"/>
            <w:gridSpan w:val="7"/>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1950B9" w:rsidRPr="00295146" w:rsidRDefault="001950B9" w:rsidP="00E6659B">
            <w:pPr>
              <w:spacing w:line="320" w:lineRule="atLeast"/>
              <w:jc w:val="both"/>
              <w:rPr>
                <w:rFonts w:asciiTheme="minorHAnsi" w:eastAsia="Arial Unicode MS" w:hAnsiTheme="minorHAnsi" w:cstheme="minorHAnsi"/>
                <w:b/>
                <w:color w:val="FF0000"/>
                <w:sz w:val="22"/>
                <w:szCs w:val="22"/>
              </w:rPr>
            </w:pPr>
            <w:r w:rsidRPr="00295146">
              <w:rPr>
                <w:rFonts w:asciiTheme="minorHAnsi" w:eastAsia="Arial Unicode MS" w:hAnsiTheme="minorHAnsi" w:cstheme="minorHAnsi"/>
                <w:b/>
                <w:color w:val="FF0000"/>
                <w:sz w:val="22"/>
                <w:szCs w:val="22"/>
              </w:rPr>
              <w:t>Propostas de alteração na Minuta de Resolução</w:t>
            </w:r>
          </w:p>
        </w:tc>
      </w:tr>
      <w:tr w:rsidR="00C13A89" w:rsidRPr="00295146" w:rsidTr="007D7833">
        <w:trPr>
          <w:gridBefore w:val="1"/>
          <w:wBefore w:w="25" w:type="dxa"/>
          <w:trHeight w:val="704"/>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13A89" w:rsidRPr="00295146" w:rsidRDefault="005B330A"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Artigo 17</w:t>
            </w:r>
            <w:r w:rsidR="00CE1E21" w:rsidRPr="00295146">
              <w:rPr>
                <w:rFonts w:asciiTheme="minorHAnsi" w:eastAsia="Arial Unicode MS" w:hAnsiTheme="minorHAnsi" w:cstheme="minorHAnsi"/>
                <w:b/>
                <w:sz w:val="22"/>
                <w:szCs w:val="22"/>
              </w:rPr>
              <w:t>, caput</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0D7BC1" w:rsidRPr="00295146" w:rsidRDefault="000D7BC1" w:rsidP="000D7BC1">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Sugere-se a seguinte adequação:</w:t>
            </w:r>
          </w:p>
          <w:p w:rsidR="00CE1E21" w:rsidRPr="00295146" w:rsidRDefault="00CE1E21" w:rsidP="00B57C7F">
            <w:pPr>
              <w:spacing w:line="320" w:lineRule="atLeast"/>
              <w:jc w:val="both"/>
              <w:rPr>
                <w:rFonts w:asciiTheme="minorHAnsi" w:eastAsia="Arial Unicode MS" w:hAnsiTheme="minorHAnsi" w:cstheme="minorHAnsi"/>
                <w:sz w:val="22"/>
                <w:szCs w:val="22"/>
              </w:rPr>
            </w:pPr>
          </w:p>
          <w:p w:rsidR="00CE1E21" w:rsidRPr="00295146" w:rsidRDefault="00CE1E21" w:rsidP="00E6659B">
            <w:pPr>
              <w:spacing w:line="320" w:lineRule="atLeast"/>
              <w:jc w:val="both"/>
              <w:rPr>
                <w:rFonts w:asciiTheme="minorHAnsi" w:eastAsia="Arial Unicode MS" w:hAnsiTheme="minorHAnsi" w:cstheme="minorHAnsi"/>
                <w:sz w:val="22"/>
                <w:szCs w:val="22"/>
                <w:u w:val="single"/>
              </w:rPr>
            </w:pPr>
            <w:r w:rsidRPr="00295146">
              <w:rPr>
                <w:rFonts w:asciiTheme="minorHAnsi" w:eastAsia="Arial Unicode MS" w:hAnsiTheme="minorHAnsi" w:cstheme="minorHAnsi"/>
                <w:sz w:val="22"/>
                <w:szCs w:val="22"/>
              </w:rPr>
              <w:t xml:space="preserve">Art.17º - </w:t>
            </w:r>
            <w:r w:rsidRPr="00295146">
              <w:rPr>
                <w:rFonts w:asciiTheme="minorHAnsi" w:hAnsiTheme="minorHAnsi" w:cstheme="minorHAnsi"/>
                <w:sz w:val="22"/>
                <w:szCs w:val="22"/>
              </w:rPr>
              <w:t>Para a emissão da Nota de Eficiência Energético-Ambiental, somente pode ser contabilizada a biomassa utilizada pelo emissor primário em seu processo produtivo, oriunda de área de produção de cultura energética localizada em área onde não tenha ocorrido supressão de vegetação nativa</w:t>
            </w:r>
            <w:r w:rsidR="00935E2F" w:rsidRPr="00295146">
              <w:rPr>
                <w:rFonts w:asciiTheme="minorHAnsi" w:hAnsiTheme="minorHAnsi" w:cstheme="minorHAnsi"/>
                <w:sz w:val="22"/>
                <w:szCs w:val="22"/>
              </w:rPr>
              <w:t xml:space="preserve">, </w:t>
            </w:r>
            <w:r w:rsidR="00935E2F" w:rsidRPr="00295146">
              <w:rPr>
                <w:rFonts w:asciiTheme="minorHAnsi" w:hAnsiTheme="minorHAnsi" w:cstheme="minorHAnsi"/>
                <w:b/>
                <w:color w:val="FF0000"/>
                <w:sz w:val="22"/>
                <w:szCs w:val="22"/>
              </w:rPr>
              <w:t>a partir d</w:t>
            </w:r>
            <w:r w:rsidR="00842D30" w:rsidRPr="00295146">
              <w:rPr>
                <w:rFonts w:asciiTheme="minorHAnsi" w:hAnsiTheme="minorHAnsi" w:cstheme="minorHAnsi"/>
                <w:b/>
                <w:color w:val="FF0000"/>
                <w:sz w:val="22"/>
                <w:szCs w:val="22"/>
              </w:rPr>
              <w:t>o</w:t>
            </w:r>
            <w:r w:rsidR="00935E2F" w:rsidRPr="00295146">
              <w:rPr>
                <w:rFonts w:asciiTheme="minorHAnsi" w:hAnsiTheme="minorHAnsi" w:cstheme="minorHAnsi"/>
                <w:b/>
                <w:color w:val="FF0000"/>
                <w:sz w:val="22"/>
                <w:szCs w:val="22"/>
              </w:rPr>
              <w:t xml:space="preserve"> </w:t>
            </w:r>
            <w:r w:rsidR="00842D30" w:rsidRPr="00295146">
              <w:rPr>
                <w:rFonts w:asciiTheme="minorHAnsi" w:hAnsiTheme="minorHAnsi" w:cstheme="minorHAnsi"/>
                <w:b/>
                <w:color w:val="FF0000"/>
                <w:sz w:val="22"/>
                <w:szCs w:val="22"/>
              </w:rPr>
              <w:t>início da</w:t>
            </w:r>
            <w:r w:rsidR="00935E2F" w:rsidRPr="00295146">
              <w:rPr>
                <w:rFonts w:asciiTheme="minorHAnsi" w:hAnsiTheme="minorHAnsi" w:cstheme="minorHAnsi"/>
                <w:b/>
                <w:color w:val="FF0000"/>
                <w:sz w:val="22"/>
                <w:szCs w:val="22"/>
              </w:rPr>
              <w:t xml:space="preserve"> </w:t>
            </w:r>
            <w:r w:rsidR="00842D30" w:rsidRPr="00295146">
              <w:rPr>
                <w:rFonts w:asciiTheme="minorHAnsi" w:hAnsiTheme="minorHAnsi" w:cstheme="minorHAnsi"/>
                <w:b/>
                <w:color w:val="FF0000"/>
                <w:sz w:val="22"/>
                <w:szCs w:val="22"/>
              </w:rPr>
              <w:t>vigência desta resolução</w:t>
            </w:r>
            <w:r w:rsidR="00842D30" w:rsidRPr="00295146">
              <w:rPr>
                <w:rFonts w:asciiTheme="minorHAnsi" w:hAnsiTheme="minorHAnsi" w:cstheme="minorHAnsi"/>
                <w:b/>
                <w:sz w:val="22"/>
                <w:szCs w:val="22"/>
              </w:rPr>
              <w:t xml:space="preserve"> </w:t>
            </w:r>
            <w:r w:rsidR="00935E2F" w:rsidRPr="00295146">
              <w:rPr>
                <w:rFonts w:asciiTheme="minorHAnsi" w:hAnsiTheme="minorHAnsi" w:cstheme="minorHAnsi"/>
                <w:b/>
                <w:strike/>
                <w:sz w:val="22"/>
                <w:szCs w:val="22"/>
              </w:rPr>
              <w:t>de promulgação da Lei nº 13.576, de 26 de dezembro de 2017</w:t>
            </w:r>
            <w:r w:rsidR="00935E2F" w:rsidRPr="00295146">
              <w:rPr>
                <w:rFonts w:asciiTheme="minorHAnsi" w:hAnsiTheme="minorHAnsi" w:cstheme="minorHAnsi"/>
                <w:b/>
                <w:sz w:val="22"/>
                <w:szCs w:val="22"/>
              </w:rPr>
              <w:t>.</w:t>
            </w:r>
          </w:p>
          <w:p w:rsidR="00CE1E21" w:rsidRPr="00295146" w:rsidRDefault="00CE1E21" w:rsidP="00E6659B">
            <w:pPr>
              <w:spacing w:line="320" w:lineRule="atLeast"/>
              <w:jc w:val="both"/>
              <w:rPr>
                <w:rFonts w:asciiTheme="minorHAnsi" w:eastAsia="Arial Unicode MS" w:hAnsiTheme="minorHAnsi" w:cstheme="minorHAnsi"/>
                <w:sz w:val="22"/>
                <w:szCs w:val="22"/>
              </w:rPr>
            </w:pPr>
          </w:p>
          <w:p w:rsidR="00CE1E21" w:rsidRPr="00295146" w:rsidRDefault="00CE1E21" w:rsidP="00E6659B">
            <w:pPr>
              <w:spacing w:line="320" w:lineRule="atLeast"/>
              <w:jc w:val="both"/>
              <w:rPr>
                <w:rFonts w:asciiTheme="minorHAnsi" w:eastAsia="Arial Unicode MS" w:hAnsiTheme="minorHAnsi" w:cstheme="minorHAnsi"/>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13A89" w:rsidRPr="00295146" w:rsidRDefault="00D33726" w:rsidP="00E6659B">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 xml:space="preserve">A </w:t>
            </w:r>
            <w:r w:rsidR="00935E2F" w:rsidRPr="00295146">
              <w:rPr>
                <w:rFonts w:asciiTheme="minorHAnsi" w:eastAsia="Arial Unicode MS" w:hAnsiTheme="minorHAnsi" w:cstheme="minorHAnsi"/>
                <w:sz w:val="22"/>
                <w:szCs w:val="22"/>
              </w:rPr>
              <w:t>Lei nº 13.576, de 26 de dezembro</w:t>
            </w:r>
            <w:r w:rsidR="00842D30" w:rsidRPr="00295146">
              <w:rPr>
                <w:rFonts w:asciiTheme="minorHAnsi" w:eastAsia="Arial Unicode MS" w:hAnsiTheme="minorHAnsi" w:cstheme="minorHAnsi"/>
                <w:sz w:val="22"/>
                <w:szCs w:val="22"/>
              </w:rPr>
              <w:t xml:space="preserve"> de 2017 não restringe a emissão da </w:t>
            </w:r>
            <w:r w:rsidR="00842D30" w:rsidRPr="00295146">
              <w:rPr>
                <w:rFonts w:asciiTheme="minorHAnsi" w:hAnsiTheme="minorHAnsi" w:cstheme="minorHAnsi"/>
                <w:sz w:val="22"/>
                <w:szCs w:val="22"/>
              </w:rPr>
              <w:t>Nota de Eficiência Energético-Ambienta</w:t>
            </w:r>
            <w:r w:rsidR="00B64E55" w:rsidRPr="00295146">
              <w:rPr>
                <w:rFonts w:asciiTheme="minorHAnsi" w:hAnsiTheme="minorHAnsi" w:cstheme="minorHAnsi"/>
                <w:sz w:val="22"/>
                <w:szCs w:val="22"/>
              </w:rPr>
              <w:t>l</w:t>
            </w:r>
            <w:r w:rsidR="00842D30" w:rsidRPr="00295146">
              <w:rPr>
                <w:rFonts w:asciiTheme="minorHAnsi" w:hAnsiTheme="minorHAnsi" w:cstheme="minorHAnsi"/>
                <w:sz w:val="22"/>
                <w:szCs w:val="22"/>
              </w:rPr>
              <w:t xml:space="preserve"> às áreas nas quais não tenha sido verificada a</w:t>
            </w:r>
            <w:r w:rsidR="00842D30" w:rsidRPr="00295146">
              <w:rPr>
                <w:rFonts w:asciiTheme="minorHAnsi" w:eastAsia="Arial Unicode MS" w:hAnsiTheme="minorHAnsi" w:cstheme="minorHAnsi"/>
                <w:sz w:val="22"/>
                <w:szCs w:val="22"/>
              </w:rPr>
              <w:t xml:space="preserve"> supressão vegetação nativa</w:t>
            </w:r>
            <w:r w:rsidR="00935E2F" w:rsidRPr="00295146">
              <w:rPr>
                <w:rFonts w:asciiTheme="minorHAnsi" w:eastAsia="Arial Unicode MS" w:hAnsiTheme="minorHAnsi" w:cstheme="minorHAnsi"/>
                <w:sz w:val="22"/>
                <w:szCs w:val="22"/>
              </w:rPr>
              <w:t xml:space="preserve">. Dessa forma, entendemos que </w:t>
            </w:r>
            <w:r w:rsidR="00842D30" w:rsidRPr="00295146">
              <w:rPr>
                <w:rFonts w:asciiTheme="minorHAnsi" w:eastAsia="Arial Unicode MS" w:hAnsiTheme="minorHAnsi" w:cstheme="minorHAnsi"/>
                <w:sz w:val="22"/>
                <w:szCs w:val="22"/>
              </w:rPr>
              <w:t xml:space="preserve">a redação submetida à Consulta Pública inova ao determinar tal restrição, sendo, inclusive mais restritiva que a legislação ambiental existente, que prevê hipóteses de supressão de vegetação nativa, desde que realizadas as devidas compensações ambientais. A fim de garantir </w:t>
            </w:r>
            <w:r w:rsidR="00433B98" w:rsidRPr="00295146">
              <w:rPr>
                <w:rFonts w:asciiTheme="minorHAnsi" w:eastAsia="Arial Unicode MS" w:hAnsiTheme="minorHAnsi" w:cstheme="minorHAnsi"/>
                <w:sz w:val="22"/>
                <w:szCs w:val="22"/>
              </w:rPr>
              <w:t xml:space="preserve">a mínima segurança jurídica aos potenciais emitentes da </w:t>
            </w:r>
            <w:r w:rsidR="00433B98" w:rsidRPr="00295146">
              <w:rPr>
                <w:rFonts w:asciiTheme="minorHAnsi" w:hAnsiTheme="minorHAnsi" w:cstheme="minorHAnsi"/>
                <w:sz w:val="22"/>
                <w:szCs w:val="22"/>
              </w:rPr>
              <w:t>Nota de Eficiência Energético-Ambienta</w:t>
            </w:r>
            <w:r w:rsidR="00B64E55" w:rsidRPr="00295146">
              <w:rPr>
                <w:rFonts w:asciiTheme="minorHAnsi" w:hAnsiTheme="minorHAnsi" w:cstheme="minorHAnsi"/>
                <w:sz w:val="22"/>
                <w:szCs w:val="22"/>
              </w:rPr>
              <w:t>l</w:t>
            </w:r>
            <w:r w:rsidR="00433B98" w:rsidRPr="00295146">
              <w:rPr>
                <w:rFonts w:asciiTheme="minorHAnsi" w:hAnsiTheme="minorHAnsi" w:cstheme="minorHAnsi"/>
                <w:sz w:val="22"/>
                <w:szCs w:val="22"/>
              </w:rPr>
              <w:t>, faz-se necessário definir que tal restrição apenas será exigida após o início da</w:t>
            </w:r>
            <w:r w:rsidR="007D7833" w:rsidRPr="00295146">
              <w:rPr>
                <w:rFonts w:asciiTheme="minorHAnsi" w:hAnsiTheme="minorHAnsi" w:cstheme="minorHAnsi"/>
                <w:sz w:val="22"/>
                <w:szCs w:val="22"/>
              </w:rPr>
              <w:t xml:space="preserve"> vigência</w:t>
            </w:r>
            <w:r w:rsidR="00433B98" w:rsidRPr="00295146">
              <w:rPr>
                <w:rFonts w:asciiTheme="minorHAnsi" w:hAnsiTheme="minorHAnsi" w:cstheme="minorHAnsi"/>
                <w:sz w:val="22"/>
                <w:szCs w:val="22"/>
              </w:rPr>
              <w:t xml:space="preserve"> </w:t>
            </w:r>
            <w:r w:rsidR="00935E2F" w:rsidRPr="00295146">
              <w:rPr>
                <w:rFonts w:asciiTheme="minorHAnsi" w:eastAsia="Arial Unicode MS" w:hAnsiTheme="minorHAnsi" w:cstheme="minorHAnsi"/>
                <w:sz w:val="22"/>
                <w:szCs w:val="22"/>
              </w:rPr>
              <w:t>desta resolução</w:t>
            </w:r>
            <w:r w:rsidR="00433B98" w:rsidRPr="00295146">
              <w:rPr>
                <w:rFonts w:asciiTheme="minorHAnsi" w:eastAsia="Arial Unicode MS" w:hAnsiTheme="minorHAnsi" w:cstheme="minorHAnsi"/>
                <w:sz w:val="22"/>
                <w:szCs w:val="22"/>
              </w:rPr>
              <w:t xml:space="preserve">, uma vez que não existe embasamento jurídico para condicioná-la ao início da vigência da Lei nº </w:t>
            </w:r>
            <w:r w:rsidR="00433B98" w:rsidRPr="00295146">
              <w:rPr>
                <w:rFonts w:asciiTheme="minorHAnsi" w:eastAsia="Arial Unicode MS" w:hAnsiTheme="minorHAnsi" w:cstheme="minorHAnsi"/>
                <w:sz w:val="22"/>
                <w:szCs w:val="22"/>
              </w:rPr>
              <w:lastRenderedPageBreak/>
              <w:t>13.576, de 26 de dezembro de 2017</w:t>
            </w:r>
            <w:r w:rsidR="006525A6" w:rsidRPr="00295146">
              <w:rPr>
                <w:rFonts w:asciiTheme="minorHAnsi" w:eastAsia="Arial Unicode MS" w:hAnsiTheme="minorHAnsi" w:cstheme="minorHAnsi"/>
                <w:sz w:val="22"/>
                <w:szCs w:val="22"/>
              </w:rPr>
              <w:t>, visto que não havia tal previsão na referida lei</w:t>
            </w:r>
            <w:r w:rsidR="00433B98" w:rsidRPr="00295146">
              <w:rPr>
                <w:rFonts w:asciiTheme="minorHAnsi" w:eastAsia="Arial Unicode MS" w:hAnsiTheme="minorHAnsi" w:cstheme="minorHAnsi"/>
                <w:sz w:val="22"/>
                <w:szCs w:val="22"/>
              </w:rPr>
              <w:t xml:space="preserve">. </w:t>
            </w:r>
          </w:p>
        </w:tc>
      </w:tr>
      <w:tr w:rsidR="007F30A1" w:rsidRPr="00295146" w:rsidTr="007D7833">
        <w:trPr>
          <w:gridBefore w:val="1"/>
          <w:wBefore w:w="25" w:type="dxa"/>
          <w:trHeight w:val="670"/>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B57C7F">
            <w:pPr>
              <w:spacing w:line="320" w:lineRule="atLeast"/>
              <w:jc w:val="both"/>
              <w:rPr>
                <w:rFonts w:asciiTheme="minorHAnsi" w:eastAsia="Arial Unicode MS" w:hAnsiTheme="minorHAnsi" w:cstheme="minorHAnsi"/>
                <w:b/>
                <w:bCs/>
                <w:sz w:val="22"/>
                <w:szCs w:val="22"/>
              </w:rPr>
            </w:pPr>
            <w:r w:rsidRPr="00295146">
              <w:rPr>
                <w:rFonts w:asciiTheme="minorHAnsi" w:eastAsia="Arial Unicode MS" w:hAnsiTheme="minorHAnsi" w:cstheme="minorHAnsi"/>
                <w:b/>
                <w:bCs/>
                <w:sz w:val="22"/>
                <w:szCs w:val="22"/>
              </w:rPr>
              <w:lastRenderedPageBreak/>
              <w:t>Artigo 17, parágrafo 2</w:t>
            </w:r>
          </w:p>
          <w:p w:rsidR="007F30A1" w:rsidRPr="00295146" w:rsidRDefault="007F30A1" w:rsidP="00B57C7F">
            <w:pPr>
              <w:spacing w:line="320" w:lineRule="atLeast"/>
              <w:jc w:val="both"/>
              <w:rPr>
                <w:rFonts w:asciiTheme="minorHAnsi" w:eastAsia="Arial Unicode MS" w:hAnsiTheme="minorHAnsi" w:cstheme="minorHAnsi"/>
                <w:b/>
                <w:bCs/>
                <w:sz w:val="22"/>
                <w:szCs w:val="22"/>
              </w:rPr>
            </w:pP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0D7BC1" w:rsidRPr="00295146" w:rsidRDefault="000D7BC1" w:rsidP="000D7BC1">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Sugere-se a seguinte adequação:</w:t>
            </w:r>
          </w:p>
          <w:p w:rsidR="00075187" w:rsidRPr="00295146" w:rsidRDefault="00075187" w:rsidP="00B57C7F">
            <w:pPr>
              <w:spacing w:line="320" w:lineRule="atLeast"/>
              <w:jc w:val="both"/>
              <w:rPr>
                <w:rFonts w:asciiTheme="minorHAnsi" w:eastAsia="Arial Unicode MS" w:hAnsiTheme="minorHAnsi" w:cstheme="minorHAnsi"/>
                <w:sz w:val="22"/>
                <w:szCs w:val="22"/>
              </w:rPr>
            </w:pPr>
          </w:p>
          <w:p w:rsidR="007F30A1" w:rsidRPr="00295146" w:rsidRDefault="00075187" w:rsidP="00B57C7F">
            <w:pPr>
              <w:spacing w:line="320" w:lineRule="atLeast"/>
              <w:jc w:val="both"/>
              <w:rPr>
                <w:rFonts w:asciiTheme="minorHAnsi" w:eastAsia="Arial Unicode MS" w:hAnsiTheme="minorHAnsi" w:cstheme="minorHAnsi"/>
                <w:color w:val="FF0000"/>
                <w:sz w:val="22"/>
                <w:szCs w:val="22"/>
              </w:rPr>
            </w:pPr>
            <w:r w:rsidRPr="00295146">
              <w:rPr>
                <w:rFonts w:asciiTheme="minorHAnsi" w:eastAsia="Arial Unicode MS" w:hAnsiTheme="minorHAnsi" w:cstheme="minorHAnsi"/>
                <w:sz w:val="22"/>
                <w:szCs w:val="22"/>
              </w:rPr>
              <w:t>§ 2</w:t>
            </w:r>
            <w:proofErr w:type="gramStart"/>
            <w:r w:rsidRPr="00295146">
              <w:rPr>
                <w:rFonts w:asciiTheme="minorHAnsi" w:eastAsia="Arial Unicode MS" w:hAnsiTheme="minorHAnsi" w:cstheme="minorHAnsi"/>
                <w:sz w:val="22"/>
                <w:szCs w:val="22"/>
              </w:rPr>
              <w:t>º  A</w:t>
            </w:r>
            <w:proofErr w:type="gramEnd"/>
            <w:r w:rsidRPr="00295146">
              <w:rPr>
                <w:rFonts w:asciiTheme="minorHAnsi" w:eastAsia="Arial Unicode MS" w:hAnsiTheme="minorHAnsi" w:cstheme="minorHAnsi"/>
                <w:sz w:val="22"/>
                <w:szCs w:val="22"/>
              </w:rPr>
              <w:t xml:space="preserve"> verificação do cumprimento do critério previsto no caput deve ser realizada pela análise de imagens de satélite com resolução espacial igual ou superior a trinta metros</w:t>
            </w:r>
            <w:r w:rsidRPr="00295146">
              <w:rPr>
                <w:rFonts w:asciiTheme="minorHAnsi" w:eastAsia="Arial Unicode MS" w:hAnsiTheme="minorHAnsi" w:cstheme="minorHAnsi"/>
                <w:b/>
                <w:color w:val="FF0000"/>
                <w:sz w:val="22"/>
                <w:szCs w:val="22"/>
              </w:rPr>
              <w:t>,</w:t>
            </w:r>
            <w:r w:rsidR="007F30A1" w:rsidRPr="00295146">
              <w:rPr>
                <w:rFonts w:asciiTheme="minorHAnsi" w:eastAsia="Arial Unicode MS" w:hAnsiTheme="minorHAnsi" w:cstheme="minorHAnsi"/>
                <w:b/>
                <w:color w:val="FF0000"/>
                <w:sz w:val="22"/>
                <w:szCs w:val="22"/>
              </w:rPr>
              <w:t xml:space="preserve"> ou por meio das imagens e informações disponíveis no Cadastro Ambiental Rural (CAR).</w:t>
            </w:r>
          </w:p>
          <w:p w:rsidR="007F30A1" w:rsidRPr="00295146" w:rsidRDefault="007F30A1" w:rsidP="00B57C7F">
            <w:pPr>
              <w:spacing w:line="320" w:lineRule="atLeast"/>
              <w:jc w:val="both"/>
              <w:rPr>
                <w:rFonts w:asciiTheme="minorHAnsi" w:eastAsia="Arial Unicode MS" w:hAnsiTheme="minorHAnsi" w:cstheme="minorHAnsi"/>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E60909" w:rsidP="00B57C7F">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A u</w:t>
            </w:r>
            <w:r w:rsidR="007F30A1" w:rsidRPr="00295146">
              <w:rPr>
                <w:rFonts w:asciiTheme="minorHAnsi" w:eastAsia="Arial Unicode MS" w:hAnsiTheme="minorHAnsi" w:cstheme="minorHAnsi"/>
                <w:sz w:val="22"/>
                <w:szCs w:val="22"/>
              </w:rPr>
              <w:t>tiliza</w:t>
            </w:r>
            <w:r w:rsidRPr="00295146">
              <w:rPr>
                <w:rFonts w:asciiTheme="minorHAnsi" w:eastAsia="Arial Unicode MS" w:hAnsiTheme="minorHAnsi" w:cstheme="minorHAnsi"/>
                <w:sz w:val="22"/>
                <w:szCs w:val="22"/>
              </w:rPr>
              <w:t>ção</w:t>
            </w:r>
            <w:r w:rsidR="007F30A1" w:rsidRPr="00295146">
              <w:rPr>
                <w:rFonts w:asciiTheme="minorHAnsi" w:eastAsia="Arial Unicode MS" w:hAnsiTheme="minorHAnsi" w:cstheme="minorHAnsi"/>
                <w:sz w:val="22"/>
                <w:szCs w:val="22"/>
              </w:rPr>
              <w:t xml:space="preserve"> </w:t>
            </w:r>
            <w:r w:rsidRPr="00295146">
              <w:rPr>
                <w:rFonts w:asciiTheme="minorHAnsi" w:eastAsia="Arial Unicode MS" w:hAnsiTheme="minorHAnsi" w:cstheme="minorHAnsi"/>
                <w:sz w:val="22"/>
                <w:szCs w:val="22"/>
              </w:rPr>
              <w:t>d</w:t>
            </w:r>
            <w:r w:rsidR="007F30A1" w:rsidRPr="00295146">
              <w:rPr>
                <w:rFonts w:asciiTheme="minorHAnsi" w:eastAsia="Arial Unicode MS" w:hAnsiTheme="minorHAnsi" w:cstheme="minorHAnsi"/>
                <w:sz w:val="22"/>
                <w:szCs w:val="22"/>
              </w:rPr>
              <w:t xml:space="preserve">as informações declaradas pelas unidades produtoras no CAR reduziria </w:t>
            </w:r>
            <w:r w:rsidR="00F45913">
              <w:rPr>
                <w:rFonts w:asciiTheme="minorHAnsi" w:eastAsia="Arial Unicode MS" w:hAnsiTheme="minorHAnsi" w:cstheme="minorHAnsi"/>
                <w:sz w:val="22"/>
                <w:szCs w:val="22"/>
              </w:rPr>
              <w:t xml:space="preserve">os </w:t>
            </w:r>
            <w:r w:rsidR="007F30A1" w:rsidRPr="00295146">
              <w:rPr>
                <w:rFonts w:asciiTheme="minorHAnsi" w:eastAsia="Arial Unicode MS" w:hAnsiTheme="minorHAnsi" w:cstheme="minorHAnsi"/>
                <w:sz w:val="22"/>
                <w:szCs w:val="22"/>
              </w:rPr>
              <w:t xml:space="preserve">custos e </w:t>
            </w:r>
            <w:r w:rsidR="00F45913">
              <w:rPr>
                <w:rFonts w:asciiTheme="minorHAnsi" w:eastAsia="Arial Unicode MS" w:hAnsiTheme="minorHAnsi" w:cstheme="minorHAnsi"/>
                <w:sz w:val="22"/>
                <w:szCs w:val="22"/>
              </w:rPr>
              <w:t xml:space="preserve">a </w:t>
            </w:r>
            <w:r w:rsidR="007F30A1" w:rsidRPr="00295146">
              <w:rPr>
                <w:rFonts w:asciiTheme="minorHAnsi" w:eastAsia="Arial Unicode MS" w:hAnsiTheme="minorHAnsi" w:cstheme="minorHAnsi"/>
                <w:sz w:val="22"/>
                <w:szCs w:val="22"/>
              </w:rPr>
              <w:t xml:space="preserve">morosidade </w:t>
            </w:r>
            <w:r w:rsidR="00F45913">
              <w:rPr>
                <w:rFonts w:asciiTheme="minorHAnsi" w:eastAsia="Arial Unicode MS" w:hAnsiTheme="minorHAnsi" w:cstheme="minorHAnsi"/>
                <w:sz w:val="22"/>
                <w:szCs w:val="22"/>
              </w:rPr>
              <w:t>da certificação</w:t>
            </w:r>
            <w:r w:rsidR="007F30A1" w:rsidRPr="00295146">
              <w:rPr>
                <w:rFonts w:asciiTheme="minorHAnsi" w:eastAsia="Arial Unicode MS" w:hAnsiTheme="minorHAnsi" w:cstheme="minorHAnsi"/>
                <w:sz w:val="22"/>
                <w:szCs w:val="22"/>
              </w:rPr>
              <w:t>, sem nenhum comprometimento para o processo de comprovação.</w:t>
            </w:r>
            <w:r w:rsidRPr="00295146">
              <w:rPr>
                <w:rFonts w:asciiTheme="minorHAnsi" w:eastAsia="Arial Unicode MS" w:hAnsiTheme="minorHAnsi" w:cstheme="minorHAnsi"/>
                <w:sz w:val="22"/>
                <w:szCs w:val="22"/>
              </w:rPr>
              <w:t xml:space="preserve"> Ressaltando que o CAR é o instrumento adequado para verificação da regularidade ambiental dos imóveis rurais.</w:t>
            </w:r>
          </w:p>
        </w:tc>
      </w:tr>
      <w:tr w:rsidR="00E60909" w:rsidRPr="00295146" w:rsidTr="007D7833">
        <w:trPr>
          <w:gridBefore w:val="1"/>
          <w:wBefore w:w="25" w:type="dxa"/>
          <w:trHeight w:val="704"/>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E60909" w:rsidRPr="00295146" w:rsidRDefault="00E60909"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 xml:space="preserve">Artigo 17, </w:t>
            </w:r>
            <w:r w:rsidRPr="00295146">
              <w:rPr>
                <w:rFonts w:asciiTheme="minorHAnsi" w:eastAsia="Arial Unicode MS" w:hAnsiTheme="minorHAnsi" w:cstheme="minorHAnsi"/>
                <w:b/>
                <w:bCs/>
                <w:sz w:val="22"/>
                <w:szCs w:val="22"/>
              </w:rPr>
              <w:t xml:space="preserve">inclusão de </w:t>
            </w:r>
            <w:r w:rsidRPr="00295146">
              <w:rPr>
                <w:rFonts w:asciiTheme="minorHAnsi" w:eastAsia="Arial Unicode MS" w:hAnsiTheme="minorHAnsi" w:cstheme="minorHAnsi"/>
                <w:b/>
                <w:sz w:val="22"/>
                <w:szCs w:val="22"/>
              </w:rPr>
              <w:t>novo parágrafo</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0D7BC1" w:rsidRPr="00295146" w:rsidRDefault="000D7BC1" w:rsidP="000D7BC1">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Sugere-se a inclusão do seguinte parágrafo:</w:t>
            </w:r>
          </w:p>
          <w:p w:rsidR="000D7BC1" w:rsidRPr="00295146" w:rsidRDefault="000D7BC1" w:rsidP="00B57C7F">
            <w:pPr>
              <w:spacing w:line="320" w:lineRule="atLeast"/>
              <w:jc w:val="both"/>
              <w:rPr>
                <w:rFonts w:asciiTheme="minorHAnsi" w:hAnsiTheme="minorHAnsi" w:cstheme="minorHAnsi"/>
                <w:b/>
                <w:color w:val="FF0000"/>
                <w:sz w:val="22"/>
                <w:szCs w:val="22"/>
                <w:shd w:val="clear" w:color="auto" w:fill="FFFFFF"/>
              </w:rPr>
            </w:pPr>
          </w:p>
          <w:p w:rsidR="00E60909" w:rsidRPr="00295146" w:rsidRDefault="00E60909" w:rsidP="00E6659B">
            <w:pPr>
              <w:spacing w:line="320" w:lineRule="atLeast"/>
              <w:jc w:val="both"/>
              <w:rPr>
                <w:rFonts w:asciiTheme="minorHAnsi" w:eastAsia="Arial Unicode MS" w:hAnsiTheme="minorHAnsi" w:cstheme="minorHAnsi"/>
                <w:b/>
                <w:color w:val="FF0000"/>
                <w:sz w:val="22"/>
                <w:szCs w:val="22"/>
              </w:rPr>
            </w:pPr>
            <w:r w:rsidRPr="00295146">
              <w:rPr>
                <w:rFonts w:asciiTheme="minorHAnsi" w:hAnsiTheme="minorHAnsi" w:cstheme="minorHAnsi"/>
                <w:b/>
                <w:color w:val="FF0000"/>
                <w:sz w:val="22"/>
                <w:szCs w:val="22"/>
                <w:shd w:val="clear" w:color="auto" w:fill="FFFFFF"/>
              </w:rPr>
              <w:t>§ </w:t>
            </w:r>
            <w:r w:rsidRPr="00295146">
              <w:rPr>
                <w:rFonts w:asciiTheme="minorHAnsi" w:hAnsiTheme="minorHAnsi" w:cstheme="minorHAnsi"/>
                <w:b/>
                <w:color w:val="FF0000"/>
                <w:sz w:val="22"/>
                <w:szCs w:val="22"/>
              </w:rPr>
              <w:t xml:space="preserve">novo – Para fins do disposto no </w:t>
            </w:r>
            <w:r w:rsidRPr="00295146">
              <w:rPr>
                <w:rFonts w:asciiTheme="minorHAnsi" w:hAnsiTheme="minorHAnsi" w:cstheme="minorHAnsi"/>
                <w:b/>
                <w:i/>
                <w:color w:val="FF0000"/>
                <w:sz w:val="22"/>
                <w:szCs w:val="22"/>
              </w:rPr>
              <w:t>caput</w:t>
            </w:r>
            <w:r w:rsidRPr="00295146">
              <w:rPr>
                <w:rFonts w:asciiTheme="minorHAnsi" w:hAnsiTheme="minorHAnsi" w:cstheme="minorHAnsi"/>
                <w:b/>
                <w:color w:val="FF0000"/>
                <w:sz w:val="22"/>
                <w:szCs w:val="22"/>
              </w:rPr>
              <w:t>, excetuam-se as supressões de vegetação nativa realizadas em conformidade com legislação vigente, desde que garantida a compensação equivalente de estoque de carbono, incluindo, mas não se limitando, a supressão de exemplar arbóreo isolado, desde que aprovada pelo órgão ambiental competente.</w:t>
            </w: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E60909" w:rsidRPr="00295146" w:rsidRDefault="00E60909" w:rsidP="00E6659B">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 xml:space="preserve">Conforme esclarecido </w:t>
            </w:r>
            <w:r w:rsidR="00E6659B" w:rsidRPr="00295146">
              <w:rPr>
                <w:rFonts w:asciiTheme="minorHAnsi" w:eastAsia="Arial Unicode MS" w:hAnsiTheme="minorHAnsi" w:cstheme="minorHAnsi"/>
                <w:sz w:val="22"/>
                <w:szCs w:val="22"/>
              </w:rPr>
              <w:t>anteriormente</w:t>
            </w:r>
            <w:r w:rsidRPr="00295146">
              <w:rPr>
                <w:rFonts w:asciiTheme="minorHAnsi" w:eastAsia="Arial Unicode MS" w:hAnsiTheme="minorHAnsi" w:cstheme="minorHAnsi"/>
                <w:sz w:val="22"/>
                <w:szCs w:val="22"/>
              </w:rPr>
              <w:t xml:space="preserve">, a legislação ambiental brasileira prevê hipóteses de supressão vegetação nativa, as quais serão objeto de aprovação pelo órgão ambiental competente. Desta forma, com o objetivo de compatibilizar a estocagem de carbono como condição para emissão da </w:t>
            </w:r>
            <w:r w:rsidRPr="00295146">
              <w:rPr>
                <w:rFonts w:asciiTheme="minorHAnsi" w:hAnsiTheme="minorHAnsi" w:cstheme="minorHAnsi"/>
                <w:sz w:val="22"/>
                <w:szCs w:val="22"/>
              </w:rPr>
              <w:t xml:space="preserve">Nota de Eficiência Energético-Ambiental com a legislação ambiental vigente, sugere-se a inserção deste parágrafo. Entendemos que </w:t>
            </w:r>
            <w:r w:rsidRPr="00295146">
              <w:rPr>
                <w:rFonts w:asciiTheme="minorHAnsi" w:eastAsia="Arial Unicode MS" w:hAnsiTheme="minorHAnsi" w:cstheme="minorHAnsi"/>
                <w:sz w:val="22"/>
                <w:szCs w:val="22"/>
              </w:rPr>
              <w:t xml:space="preserve">a compensação do estoque de carbono, com o plantio de mudas em áreas prioritárias para formação de corredores ecológicos, por exemplo, garante as premissas exigidas para a metodologia de quantificação de carbono, especialmente no item sobre mudança no uso da terra. Assim, a supressão de vegetação nativa devidamente autorizada pelo órgão ambiental competente, prevendo, inclusive a sua compensação com o plantio de mudas, não </w:t>
            </w:r>
            <w:r w:rsidR="00F45913">
              <w:rPr>
                <w:rFonts w:asciiTheme="minorHAnsi" w:eastAsia="Arial Unicode MS" w:hAnsiTheme="minorHAnsi" w:cstheme="minorHAnsi"/>
                <w:sz w:val="22"/>
                <w:szCs w:val="22"/>
              </w:rPr>
              <w:t>deve prejudicar</w:t>
            </w:r>
            <w:r w:rsidRPr="00295146">
              <w:rPr>
                <w:rFonts w:asciiTheme="minorHAnsi" w:eastAsia="Arial Unicode MS" w:hAnsiTheme="minorHAnsi" w:cstheme="minorHAnsi"/>
                <w:sz w:val="22"/>
                <w:szCs w:val="22"/>
              </w:rPr>
              <w:t xml:space="preserve"> a emissão </w:t>
            </w:r>
            <w:r w:rsidRPr="00295146">
              <w:rPr>
                <w:rFonts w:asciiTheme="minorHAnsi" w:hAnsiTheme="minorHAnsi" w:cstheme="minorHAnsi"/>
                <w:sz w:val="22"/>
                <w:szCs w:val="22"/>
              </w:rPr>
              <w:t>Nota de Eficiência Energético-Ambiental. Aplicando-se o mesmo raciocínio para a supressão de árvores isoladas.</w:t>
            </w:r>
          </w:p>
        </w:tc>
      </w:tr>
      <w:tr w:rsidR="00935E2F" w:rsidRPr="00295146" w:rsidTr="007D7833">
        <w:trPr>
          <w:gridBefore w:val="1"/>
          <w:wBefore w:w="25" w:type="dxa"/>
          <w:trHeight w:val="670"/>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935E2F" w:rsidRPr="00295146" w:rsidRDefault="00935E2F"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Artigo 17,</w:t>
            </w:r>
            <w:r w:rsidR="00E60909" w:rsidRPr="00295146">
              <w:rPr>
                <w:rFonts w:asciiTheme="minorHAnsi" w:eastAsia="Arial Unicode MS" w:hAnsiTheme="minorHAnsi" w:cstheme="minorHAnsi"/>
                <w:b/>
                <w:sz w:val="22"/>
                <w:szCs w:val="22"/>
              </w:rPr>
              <w:t xml:space="preserve"> </w:t>
            </w:r>
            <w:r w:rsidR="00E60909" w:rsidRPr="00295146">
              <w:rPr>
                <w:rFonts w:asciiTheme="minorHAnsi" w:eastAsia="Arial Unicode MS" w:hAnsiTheme="minorHAnsi" w:cstheme="minorHAnsi"/>
                <w:b/>
                <w:bCs/>
                <w:sz w:val="22"/>
                <w:szCs w:val="22"/>
              </w:rPr>
              <w:t>inclusão de</w:t>
            </w:r>
            <w:r w:rsidRPr="00295146">
              <w:rPr>
                <w:rFonts w:asciiTheme="minorHAnsi" w:eastAsia="Arial Unicode MS" w:hAnsiTheme="minorHAnsi" w:cstheme="minorHAnsi"/>
                <w:b/>
                <w:bCs/>
                <w:sz w:val="22"/>
                <w:szCs w:val="22"/>
              </w:rPr>
              <w:t xml:space="preserve"> </w:t>
            </w:r>
            <w:r w:rsidRPr="00295146">
              <w:rPr>
                <w:rFonts w:asciiTheme="minorHAnsi" w:eastAsia="Arial Unicode MS" w:hAnsiTheme="minorHAnsi" w:cstheme="minorHAnsi"/>
                <w:b/>
                <w:sz w:val="22"/>
                <w:szCs w:val="22"/>
              </w:rPr>
              <w:t>novo parágrafo</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0D7BC1" w:rsidRPr="00295146" w:rsidRDefault="000D7BC1" w:rsidP="000D7BC1">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Sugere-se a inclusão do seguinte parágrafo:</w:t>
            </w:r>
          </w:p>
          <w:p w:rsidR="000D7BC1" w:rsidRPr="00295146" w:rsidRDefault="000D7BC1" w:rsidP="00B57C7F">
            <w:pPr>
              <w:spacing w:line="320" w:lineRule="atLeast"/>
              <w:jc w:val="both"/>
              <w:rPr>
                <w:rFonts w:asciiTheme="minorHAnsi" w:hAnsiTheme="minorHAnsi" w:cstheme="minorHAnsi"/>
                <w:b/>
                <w:color w:val="FF0000"/>
                <w:sz w:val="22"/>
                <w:szCs w:val="22"/>
                <w:shd w:val="clear" w:color="auto" w:fill="FFFFFF"/>
              </w:rPr>
            </w:pPr>
          </w:p>
          <w:p w:rsidR="00935E2F" w:rsidRPr="00295146" w:rsidRDefault="00935E2F" w:rsidP="00E6659B">
            <w:pPr>
              <w:spacing w:line="320" w:lineRule="atLeast"/>
              <w:jc w:val="both"/>
              <w:rPr>
                <w:rFonts w:asciiTheme="minorHAnsi" w:eastAsia="Arial Unicode MS" w:hAnsiTheme="minorHAnsi" w:cstheme="minorHAnsi"/>
                <w:b/>
                <w:color w:val="FF0000"/>
                <w:sz w:val="22"/>
                <w:szCs w:val="22"/>
              </w:rPr>
            </w:pPr>
            <w:r w:rsidRPr="00295146">
              <w:rPr>
                <w:rFonts w:asciiTheme="minorHAnsi" w:hAnsiTheme="minorHAnsi" w:cstheme="minorHAnsi"/>
                <w:b/>
                <w:color w:val="FF0000"/>
                <w:sz w:val="22"/>
                <w:szCs w:val="22"/>
                <w:shd w:val="clear" w:color="auto" w:fill="FFFFFF"/>
              </w:rPr>
              <w:t>§ </w:t>
            </w:r>
            <w:r w:rsidRPr="00295146">
              <w:rPr>
                <w:rFonts w:asciiTheme="minorHAnsi" w:hAnsiTheme="minorHAnsi" w:cstheme="minorHAnsi"/>
                <w:b/>
                <w:color w:val="FF0000"/>
                <w:sz w:val="22"/>
                <w:szCs w:val="22"/>
              </w:rPr>
              <w:t xml:space="preserve">novo – Para as áreas de </w:t>
            </w:r>
            <w:r w:rsidR="00662399" w:rsidRPr="00295146">
              <w:rPr>
                <w:rFonts w:asciiTheme="minorHAnsi" w:hAnsiTheme="minorHAnsi" w:cstheme="minorHAnsi"/>
                <w:b/>
                <w:color w:val="FF0000"/>
                <w:sz w:val="22"/>
                <w:szCs w:val="22"/>
              </w:rPr>
              <w:t xml:space="preserve">cultivo com cana-de-açúcar, a comprovação de que trata o </w:t>
            </w:r>
            <w:r w:rsidR="00662399" w:rsidRPr="00295146">
              <w:rPr>
                <w:rFonts w:asciiTheme="minorHAnsi" w:hAnsiTheme="minorHAnsi" w:cstheme="minorHAnsi"/>
                <w:b/>
                <w:i/>
                <w:color w:val="FF0000"/>
                <w:sz w:val="22"/>
                <w:szCs w:val="22"/>
              </w:rPr>
              <w:t>caput</w:t>
            </w:r>
            <w:r w:rsidR="00662399" w:rsidRPr="00295146">
              <w:rPr>
                <w:rFonts w:asciiTheme="minorHAnsi" w:hAnsiTheme="minorHAnsi" w:cstheme="minorHAnsi"/>
                <w:b/>
                <w:color w:val="FF0000"/>
                <w:sz w:val="22"/>
                <w:szCs w:val="22"/>
              </w:rPr>
              <w:t xml:space="preserve"> deverá ser realizada tendo como referência o mapa de área consolidada </w:t>
            </w:r>
            <w:r w:rsidR="00E60909" w:rsidRPr="00295146">
              <w:rPr>
                <w:rFonts w:asciiTheme="minorHAnsi" w:hAnsiTheme="minorHAnsi" w:cstheme="minorHAnsi"/>
                <w:b/>
                <w:color w:val="FF0000"/>
                <w:sz w:val="22"/>
                <w:szCs w:val="22"/>
              </w:rPr>
              <w:t xml:space="preserve">na data início de vigência desta resolução a ser </w:t>
            </w:r>
            <w:r w:rsidR="00662399" w:rsidRPr="00295146">
              <w:rPr>
                <w:rFonts w:asciiTheme="minorHAnsi" w:hAnsiTheme="minorHAnsi" w:cstheme="minorHAnsi"/>
                <w:b/>
                <w:color w:val="FF0000"/>
                <w:sz w:val="22"/>
                <w:szCs w:val="22"/>
              </w:rPr>
              <w:t>disponibilizado pela ANP.</w:t>
            </w: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935E2F" w:rsidRPr="00295146" w:rsidRDefault="00662399" w:rsidP="00E6659B">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 xml:space="preserve">A indústria dispõe de mapeamento das áreas de cultivo com cana-de-açúcar. O referido mapeamento pode ser disponibilizado à ANP e aos técnicos do grupo responsável pela </w:t>
            </w:r>
            <w:proofErr w:type="spellStart"/>
            <w:r w:rsidRPr="00295146">
              <w:rPr>
                <w:rFonts w:asciiTheme="minorHAnsi" w:eastAsia="Arial Unicode MS" w:hAnsiTheme="minorHAnsi" w:cstheme="minorHAnsi"/>
                <w:sz w:val="22"/>
                <w:szCs w:val="22"/>
              </w:rPr>
              <w:t>RenovaCalc</w:t>
            </w:r>
            <w:proofErr w:type="spellEnd"/>
            <w:r w:rsidRPr="00295146">
              <w:rPr>
                <w:rFonts w:asciiTheme="minorHAnsi" w:eastAsia="Arial Unicode MS" w:hAnsiTheme="minorHAnsi" w:cstheme="minorHAnsi"/>
                <w:sz w:val="22"/>
                <w:szCs w:val="22"/>
              </w:rPr>
              <w:t xml:space="preserve"> para verificação e aprovação. Com a aprovação deste mapa pela ANP, a comprovação da não supressão de vegetação nativa para a área de cultivo na data de </w:t>
            </w:r>
            <w:r w:rsidR="00E60909" w:rsidRPr="00295146">
              <w:rPr>
                <w:rFonts w:asciiTheme="minorHAnsi" w:eastAsia="Arial Unicode MS" w:hAnsiTheme="minorHAnsi" w:cstheme="minorHAnsi"/>
                <w:sz w:val="22"/>
                <w:szCs w:val="22"/>
              </w:rPr>
              <w:t xml:space="preserve">início da </w:t>
            </w:r>
            <w:r w:rsidR="00E60909" w:rsidRPr="00295146">
              <w:rPr>
                <w:rFonts w:asciiTheme="minorHAnsi" w:eastAsia="Arial Unicode MS" w:hAnsiTheme="minorHAnsi" w:cstheme="minorHAnsi"/>
                <w:sz w:val="22"/>
                <w:szCs w:val="22"/>
              </w:rPr>
              <w:lastRenderedPageBreak/>
              <w:t>vigência desta</w:t>
            </w:r>
            <w:r w:rsidRPr="00295146">
              <w:rPr>
                <w:rFonts w:asciiTheme="minorHAnsi" w:eastAsia="Arial Unicode MS" w:hAnsiTheme="minorHAnsi" w:cstheme="minorHAnsi"/>
                <w:sz w:val="22"/>
                <w:szCs w:val="22"/>
              </w:rPr>
              <w:t xml:space="preserve"> resolução poderia ser realizada pela firma inspetora apenas confrontando </w:t>
            </w:r>
            <w:r w:rsidR="00E60909" w:rsidRPr="00295146">
              <w:rPr>
                <w:rFonts w:asciiTheme="minorHAnsi" w:eastAsia="Arial Unicode MS" w:hAnsiTheme="minorHAnsi" w:cstheme="minorHAnsi"/>
                <w:sz w:val="22"/>
                <w:szCs w:val="22"/>
              </w:rPr>
              <w:t>a</w:t>
            </w:r>
            <w:r w:rsidRPr="00295146">
              <w:rPr>
                <w:rFonts w:asciiTheme="minorHAnsi" w:eastAsia="Arial Unicode MS" w:hAnsiTheme="minorHAnsi" w:cstheme="minorHAnsi"/>
                <w:sz w:val="22"/>
                <w:szCs w:val="22"/>
              </w:rPr>
              <w:t xml:space="preserve"> área do produtor com aquela especificada no mapa disponibilizado pela ANP. Esse procedimento tornaria a comprovação da área consolidada mais assertiva e menos custosa</w:t>
            </w:r>
            <w:r w:rsidR="00E60909" w:rsidRPr="00295146">
              <w:rPr>
                <w:rFonts w:asciiTheme="minorHAnsi" w:eastAsia="Arial Unicode MS" w:hAnsiTheme="minorHAnsi" w:cstheme="minorHAnsi"/>
                <w:sz w:val="22"/>
                <w:szCs w:val="22"/>
              </w:rPr>
              <w:t>.</w:t>
            </w:r>
          </w:p>
        </w:tc>
      </w:tr>
      <w:tr w:rsidR="007F30A1" w:rsidRPr="00295146" w:rsidTr="007D7833">
        <w:trPr>
          <w:gridBefore w:val="1"/>
          <w:wBefore w:w="25" w:type="dxa"/>
          <w:trHeight w:val="667"/>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lastRenderedPageBreak/>
              <w:t>Artigo 18, parágrafo 2</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0D7BC1" w:rsidP="00B57C7F">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Sugere-se a seguinte adequação</w:t>
            </w:r>
            <w:r w:rsidR="007F30A1" w:rsidRPr="00295146">
              <w:rPr>
                <w:rFonts w:asciiTheme="minorHAnsi" w:eastAsia="Arial Unicode MS" w:hAnsiTheme="minorHAnsi" w:cstheme="minorHAnsi"/>
                <w:sz w:val="22"/>
                <w:szCs w:val="22"/>
              </w:rPr>
              <w:t>:</w:t>
            </w:r>
          </w:p>
          <w:p w:rsidR="007F30A1" w:rsidRPr="00295146" w:rsidRDefault="007F30A1" w:rsidP="00B57C7F">
            <w:pPr>
              <w:spacing w:line="320" w:lineRule="atLeast"/>
              <w:jc w:val="both"/>
              <w:rPr>
                <w:rFonts w:asciiTheme="minorHAnsi" w:eastAsia="Arial Unicode MS" w:hAnsiTheme="minorHAnsi" w:cstheme="minorHAnsi"/>
                <w:color w:val="000000"/>
                <w:sz w:val="22"/>
                <w:szCs w:val="22"/>
              </w:rPr>
            </w:pPr>
          </w:p>
          <w:p w:rsidR="007F30A1" w:rsidRPr="00295146" w:rsidRDefault="007F30A1" w:rsidP="00E6659B">
            <w:pPr>
              <w:shd w:val="clear" w:color="auto" w:fill="FFFFFF"/>
              <w:spacing w:after="120"/>
              <w:jc w:val="both"/>
              <w:rPr>
                <w:rFonts w:asciiTheme="minorHAnsi" w:eastAsia="Arial Unicode MS" w:hAnsiTheme="minorHAnsi" w:cstheme="minorHAnsi"/>
                <w:strike/>
                <w:color w:val="FF0000"/>
                <w:sz w:val="22"/>
                <w:szCs w:val="22"/>
              </w:rPr>
            </w:pPr>
            <w:r w:rsidRPr="00295146">
              <w:rPr>
                <w:rFonts w:asciiTheme="minorHAnsi" w:hAnsiTheme="minorHAnsi" w:cstheme="minorHAnsi"/>
                <w:sz w:val="22"/>
                <w:szCs w:val="22"/>
              </w:rPr>
              <w:t xml:space="preserve">A verificação do CAR deve ser realizada anualmente pelo produtor de biocombustível antes da aquisição da biomassa e, caso um dos imóveis não tenha o seu CAR com situação ativa ou pendente, o produtor  </w:t>
            </w:r>
            <w:r w:rsidR="00E60909" w:rsidRPr="00295146">
              <w:rPr>
                <w:rFonts w:asciiTheme="minorHAnsi" w:hAnsiTheme="minorHAnsi" w:cstheme="minorHAnsi"/>
                <w:b/>
                <w:strike/>
                <w:sz w:val="22"/>
                <w:szCs w:val="22"/>
              </w:rPr>
              <w:t>deverá interromper a aquisição de biomassa até que a sua situação seja regularizada</w:t>
            </w:r>
            <w:r w:rsidR="00E60909" w:rsidRPr="00295146">
              <w:rPr>
                <w:rFonts w:asciiTheme="minorHAnsi" w:hAnsiTheme="minorHAnsi" w:cstheme="minorHAnsi"/>
                <w:color w:val="FF0000"/>
                <w:sz w:val="22"/>
                <w:szCs w:val="22"/>
              </w:rPr>
              <w:t xml:space="preserve"> </w:t>
            </w:r>
            <w:r w:rsidRPr="00295146">
              <w:rPr>
                <w:rFonts w:asciiTheme="minorHAnsi" w:hAnsiTheme="minorHAnsi" w:cstheme="minorHAnsi"/>
                <w:b/>
                <w:color w:val="FF0000"/>
                <w:sz w:val="22"/>
                <w:szCs w:val="22"/>
              </w:rPr>
              <w:t xml:space="preserve">não </w:t>
            </w:r>
            <w:r w:rsidR="00140A37" w:rsidRPr="00295146">
              <w:rPr>
                <w:rFonts w:asciiTheme="minorHAnsi" w:hAnsiTheme="minorHAnsi" w:cstheme="minorHAnsi"/>
                <w:b/>
                <w:color w:val="FF0000"/>
                <w:sz w:val="22"/>
                <w:szCs w:val="22"/>
              </w:rPr>
              <w:t>pod</w:t>
            </w:r>
            <w:r w:rsidRPr="00295146">
              <w:rPr>
                <w:rFonts w:asciiTheme="minorHAnsi" w:hAnsiTheme="minorHAnsi" w:cstheme="minorHAnsi"/>
                <w:b/>
                <w:color w:val="FF0000"/>
                <w:sz w:val="22"/>
                <w:szCs w:val="22"/>
              </w:rPr>
              <w:t xml:space="preserve">erá contabilizar a biomassa </w:t>
            </w:r>
            <w:r w:rsidR="003E21FC" w:rsidRPr="00295146">
              <w:rPr>
                <w:rFonts w:asciiTheme="minorHAnsi" w:hAnsiTheme="minorHAnsi" w:cstheme="minorHAnsi"/>
                <w:b/>
                <w:color w:val="FF0000"/>
                <w:sz w:val="22"/>
                <w:szCs w:val="22"/>
              </w:rPr>
              <w:t>proveniente desses imóveis</w:t>
            </w:r>
            <w:r w:rsidRPr="00295146">
              <w:rPr>
                <w:rFonts w:asciiTheme="minorHAnsi" w:hAnsiTheme="minorHAnsi" w:cstheme="minorHAnsi"/>
                <w:b/>
                <w:color w:val="FF0000"/>
                <w:sz w:val="22"/>
                <w:szCs w:val="22"/>
              </w:rPr>
              <w:t xml:space="preserve"> para efeitos de emissão de </w:t>
            </w:r>
            <w:proofErr w:type="spellStart"/>
            <w:r w:rsidRPr="00295146">
              <w:rPr>
                <w:rFonts w:asciiTheme="minorHAnsi" w:hAnsiTheme="minorHAnsi" w:cstheme="minorHAnsi"/>
                <w:b/>
                <w:color w:val="FF0000"/>
                <w:sz w:val="22"/>
                <w:szCs w:val="22"/>
              </w:rPr>
              <w:t>CBio</w:t>
            </w:r>
            <w:proofErr w:type="spellEnd"/>
            <w:r w:rsidRPr="00295146">
              <w:rPr>
                <w:rFonts w:asciiTheme="minorHAnsi" w:hAnsiTheme="minorHAnsi" w:cstheme="minorHAnsi"/>
                <w:b/>
                <w:color w:val="FF0000"/>
                <w:sz w:val="22"/>
                <w:szCs w:val="22"/>
              </w:rPr>
              <w:t xml:space="preserve"> até que a sua situação seja regularizada.</w:t>
            </w:r>
          </w:p>
          <w:p w:rsidR="007F30A1" w:rsidRPr="00295146" w:rsidRDefault="007F30A1" w:rsidP="00E6659B">
            <w:pPr>
              <w:spacing w:line="320" w:lineRule="atLeast"/>
              <w:jc w:val="both"/>
              <w:rPr>
                <w:rFonts w:asciiTheme="minorHAnsi" w:eastAsia="Arial Unicode MS" w:hAnsiTheme="minorHAnsi" w:cstheme="minorHAnsi"/>
                <w:color w:val="000000"/>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140A37" w:rsidP="00E6659B">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 xml:space="preserve">A participação dos produtores de biocombustíveis no RenovaBio tem caráter voluntário, cabendo ao produtor indicar as </w:t>
            </w:r>
            <w:r w:rsidR="00E6659B" w:rsidRPr="00295146">
              <w:rPr>
                <w:rFonts w:asciiTheme="minorHAnsi" w:eastAsia="Arial Unicode MS" w:hAnsiTheme="minorHAnsi" w:cstheme="minorHAnsi"/>
                <w:sz w:val="22"/>
                <w:szCs w:val="22"/>
              </w:rPr>
              <w:t xml:space="preserve">propriedades </w:t>
            </w:r>
            <w:r w:rsidRPr="00295146">
              <w:rPr>
                <w:rFonts w:asciiTheme="minorHAnsi" w:eastAsia="Arial Unicode MS" w:hAnsiTheme="minorHAnsi" w:cstheme="minorHAnsi"/>
                <w:sz w:val="22"/>
                <w:szCs w:val="22"/>
              </w:rPr>
              <w:t xml:space="preserve">que serão objeto da emissão de </w:t>
            </w:r>
            <w:proofErr w:type="spellStart"/>
            <w:r w:rsidRPr="00295146">
              <w:rPr>
                <w:rFonts w:asciiTheme="minorHAnsi" w:eastAsia="Arial Unicode MS" w:hAnsiTheme="minorHAnsi" w:cstheme="minorHAnsi"/>
                <w:sz w:val="22"/>
                <w:szCs w:val="22"/>
              </w:rPr>
              <w:t>CBio</w:t>
            </w:r>
            <w:proofErr w:type="spellEnd"/>
            <w:r w:rsidRPr="00295146">
              <w:rPr>
                <w:rFonts w:asciiTheme="minorHAnsi" w:eastAsia="Arial Unicode MS" w:hAnsiTheme="minorHAnsi" w:cstheme="minorHAnsi"/>
                <w:sz w:val="22"/>
                <w:szCs w:val="22"/>
              </w:rPr>
              <w:t>. Neste sentido, a restrição para aquisição de biomassa de imóveis cujo CAR não atenda à situação de ativo ou pendente transcende a regulamentação do RenovaBio. Desta forma, entendemos que a interrupção</w:t>
            </w:r>
            <w:r w:rsidR="007F30A1" w:rsidRPr="00295146">
              <w:rPr>
                <w:rFonts w:asciiTheme="minorHAnsi" w:eastAsia="Arial Unicode MS" w:hAnsiTheme="minorHAnsi" w:cstheme="minorHAnsi"/>
                <w:sz w:val="22"/>
                <w:szCs w:val="22"/>
              </w:rPr>
              <w:t xml:space="preserve"> </w:t>
            </w:r>
            <w:r w:rsidRPr="00295146">
              <w:rPr>
                <w:rFonts w:asciiTheme="minorHAnsi" w:eastAsia="Arial Unicode MS" w:hAnsiTheme="minorHAnsi" w:cstheme="minorHAnsi"/>
                <w:sz w:val="22"/>
                <w:szCs w:val="22"/>
              </w:rPr>
              <w:t>d</w:t>
            </w:r>
            <w:r w:rsidR="007F30A1" w:rsidRPr="00295146">
              <w:rPr>
                <w:rFonts w:asciiTheme="minorHAnsi" w:eastAsia="Arial Unicode MS" w:hAnsiTheme="minorHAnsi" w:cstheme="minorHAnsi"/>
                <w:sz w:val="22"/>
                <w:szCs w:val="22"/>
              </w:rPr>
              <w:t>a aquisição física de biomassa diante dos contratos de fornecimento estabelecidos</w:t>
            </w:r>
            <w:r w:rsidRPr="00295146">
              <w:rPr>
                <w:rFonts w:asciiTheme="minorHAnsi" w:eastAsia="Arial Unicode MS" w:hAnsiTheme="minorHAnsi" w:cstheme="minorHAnsi"/>
                <w:sz w:val="22"/>
                <w:szCs w:val="22"/>
              </w:rPr>
              <w:t xml:space="preserve"> tem natureza negocial</w:t>
            </w:r>
            <w:r w:rsidR="007F30A1" w:rsidRPr="00295146">
              <w:rPr>
                <w:rFonts w:asciiTheme="minorHAnsi" w:eastAsia="Arial Unicode MS" w:hAnsiTheme="minorHAnsi" w:cstheme="minorHAnsi"/>
                <w:sz w:val="22"/>
                <w:szCs w:val="22"/>
              </w:rPr>
              <w:t>.</w:t>
            </w:r>
            <w:r w:rsidRPr="00295146">
              <w:rPr>
                <w:rFonts w:asciiTheme="minorHAnsi" w:eastAsia="Arial Unicode MS" w:hAnsiTheme="minorHAnsi" w:cstheme="minorHAnsi"/>
                <w:sz w:val="22"/>
                <w:szCs w:val="22"/>
              </w:rPr>
              <w:t xml:space="preserve"> No entanto, para fins de atendimento das diretrizes do RenovaBio,</w:t>
            </w:r>
            <w:r w:rsidR="007F30A1" w:rsidRPr="00295146">
              <w:rPr>
                <w:rFonts w:asciiTheme="minorHAnsi" w:eastAsia="Arial Unicode MS" w:hAnsiTheme="minorHAnsi" w:cstheme="minorHAnsi"/>
                <w:sz w:val="22"/>
                <w:szCs w:val="22"/>
              </w:rPr>
              <w:t xml:space="preserve"> </w:t>
            </w:r>
            <w:r w:rsidRPr="00295146">
              <w:rPr>
                <w:rFonts w:asciiTheme="minorHAnsi" w:eastAsia="Arial Unicode MS" w:hAnsiTheme="minorHAnsi" w:cstheme="minorHAnsi"/>
                <w:sz w:val="22"/>
                <w:szCs w:val="22"/>
              </w:rPr>
              <w:t>c</w:t>
            </w:r>
            <w:r w:rsidR="007F30A1" w:rsidRPr="00295146">
              <w:rPr>
                <w:rFonts w:asciiTheme="minorHAnsi" w:eastAsia="Arial Unicode MS" w:hAnsiTheme="minorHAnsi" w:cstheme="minorHAnsi"/>
                <w:sz w:val="22"/>
                <w:szCs w:val="22"/>
              </w:rPr>
              <w:t>abe ao produtor</w:t>
            </w:r>
            <w:r w:rsidRPr="00295146">
              <w:rPr>
                <w:rFonts w:asciiTheme="minorHAnsi" w:eastAsia="Arial Unicode MS" w:hAnsiTheme="minorHAnsi" w:cstheme="minorHAnsi"/>
                <w:sz w:val="22"/>
                <w:szCs w:val="22"/>
              </w:rPr>
              <w:t xml:space="preserve"> de biocombustível </w:t>
            </w:r>
            <w:r w:rsidR="007F30A1" w:rsidRPr="00295146">
              <w:rPr>
                <w:rFonts w:asciiTheme="minorHAnsi" w:eastAsia="Arial Unicode MS" w:hAnsiTheme="minorHAnsi" w:cstheme="minorHAnsi"/>
                <w:sz w:val="22"/>
                <w:szCs w:val="22"/>
              </w:rPr>
              <w:t xml:space="preserve">eliminar a biomassa adquirida de imóvel </w:t>
            </w:r>
            <w:r w:rsidRPr="00295146">
              <w:rPr>
                <w:rFonts w:asciiTheme="minorHAnsi" w:eastAsia="Arial Unicode MS" w:hAnsiTheme="minorHAnsi" w:cstheme="minorHAnsi"/>
                <w:sz w:val="22"/>
                <w:szCs w:val="22"/>
              </w:rPr>
              <w:t xml:space="preserve">cujo </w:t>
            </w:r>
            <w:r w:rsidR="007F30A1" w:rsidRPr="00295146">
              <w:rPr>
                <w:rFonts w:asciiTheme="minorHAnsi" w:eastAsia="Arial Unicode MS" w:hAnsiTheme="minorHAnsi" w:cstheme="minorHAnsi"/>
                <w:sz w:val="22"/>
                <w:szCs w:val="22"/>
              </w:rPr>
              <w:t xml:space="preserve">CAR </w:t>
            </w:r>
            <w:r w:rsidRPr="00295146">
              <w:rPr>
                <w:rFonts w:asciiTheme="minorHAnsi" w:eastAsia="Arial Unicode MS" w:hAnsiTheme="minorHAnsi" w:cstheme="minorHAnsi"/>
                <w:sz w:val="22"/>
                <w:szCs w:val="22"/>
              </w:rPr>
              <w:t xml:space="preserve">não esteja ativo </w:t>
            </w:r>
            <w:r w:rsidR="007F30A1" w:rsidRPr="00295146">
              <w:rPr>
                <w:rFonts w:asciiTheme="minorHAnsi" w:eastAsia="Arial Unicode MS" w:hAnsiTheme="minorHAnsi" w:cstheme="minorHAnsi"/>
                <w:sz w:val="22"/>
                <w:szCs w:val="22"/>
              </w:rPr>
              <w:t xml:space="preserve">ou pendente da contabilidade adotada para a obtenção da </w:t>
            </w:r>
            <w:r w:rsidRPr="00295146">
              <w:rPr>
                <w:rFonts w:asciiTheme="minorHAnsi" w:eastAsia="Arial Unicode MS" w:hAnsiTheme="minorHAnsi" w:cstheme="minorHAnsi"/>
                <w:sz w:val="22"/>
                <w:szCs w:val="22"/>
              </w:rPr>
              <w:t>N</w:t>
            </w:r>
            <w:r w:rsidR="007F30A1" w:rsidRPr="00295146">
              <w:rPr>
                <w:rFonts w:asciiTheme="minorHAnsi" w:eastAsia="Arial Unicode MS" w:hAnsiTheme="minorHAnsi" w:cstheme="minorHAnsi"/>
                <w:sz w:val="22"/>
                <w:szCs w:val="22"/>
              </w:rPr>
              <w:t xml:space="preserve">ota de </w:t>
            </w:r>
            <w:r w:rsidRPr="00295146">
              <w:rPr>
                <w:rFonts w:asciiTheme="minorHAnsi" w:eastAsia="Arial Unicode MS" w:hAnsiTheme="minorHAnsi" w:cstheme="minorHAnsi"/>
                <w:sz w:val="22"/>
                <w:szCs w:val="22"/>
              </w:rPr>
              <w:t>E</w:t>
            </w:r>
            <w:r w:rsidR="007F30A1" w:rsidRPr="00295146">
              <w:rPr>
                <w:rFonts w:asciiTheme="minorHAnsi" w:eastAsia="Arial Unicode MS" w:hAnsiTheme="minorHAnsi" w:cstheme="minorHAnsi"/>
                <w:sz w:val="22"/>
                <w:szCs w:val="22"/>
              </w:rPr>
              <w:t xml:space="preserve">ficiência </w:t>
            </w:r>
            <w:r w:rsidRPr="00295146">
              <w:rPr>
                <w:rFonts w:asciiTheme="minorHAnsi" w:eastAsia="Arial Unicode MS" w:hAnsiTheme="minorHAnsi" w:cstheme="minorHAnsi"/>
                <w:sz w:val="22"/>
                <w:szCs w:val="22"/>
              </w:rPr>
              <w:t>E</w:t>
            </w:r>
            <w:r w:rsidR="007F30A1" w:rsidRPr="00295146">
              <w:rPr>
                <w:rFonts w:asciiTheme="minorHAnsi" w:eastAsia="Arial Unicode MS" w:hAnsiTheme="minorHAnsi" w:cstheme="minorHAnsi"/>
                <w:sz w:val="22"/>
                <w:szCs w:val="22"/>
              </w:rPr>
              <w:t>nergético-</w:t>
            </w:r>
            <w:r w:rsidRPr="00295146">
              <w:rPr>
                <w:rFonts w:asciiTheme="minorHAnsi" w:eastAsia="Arial Unicode MS" w:hAnsiTheme="minorHAnsi" w:cstheme="minorHAnsi"/>
                <w:sz w:val="22"/>
                <w:szCs w:val="22"/>
              </w:rPr>
              <w:t>A</w:t>
            </w:r>
            <w:r w:rsidR="007F30A1" w:rsidRPr="00295146">
              <w:rPr>
                <w:rFonts w:asciiTheme="minorHAnsi" w:eastAsia="Arial Unicode MS" w:hAnsiTheme="minorHAnsi" w:cstheme="minorHAnsi"/>
                <w:sz w:val="22"/>
                <w:szCs w:val="22"/>
              </w:rPr>
              <w:t>mbiental</w:t>
            </w:r>
            <w:r w:rsidRPr="00295146">
              <w:rPr>
                <w:rFonts w:asciiTheme="minorHAnsi" w:eastAsia="Arial Unicode MS" w:hAnsiTheme="minorHAnsi" w:cstheme="minorHAnsi"/>
                <w:sz w:val="22"/>
                <w:szCs w:val="22"/>
              </w:rPr>
              <w:t xml:space="preserve">, base da emissão do </w:t>
            </w:r>
            <w:proofErr w:type="spellStart"/>
            <w:r w:rsidRPr="00295146">
              <w:rPr>
                <w:rFonts w:asciiTheme="minorHAnsi" w:eastAsia="Arial Unicode MS" w:hAnsiTheme="minorHAnsi" w:cstheme="minorHAnsi"/>
                <w:sz w:val="22"/>
                <w:szCs w:val="22"/>
              </w:rPr>
              <w:t>CBio</w:t>
            </w:r>
            <w:proofErr w:type="spellEnd"/>
            <w:r w:rsidR="007F30A1" w:rsidRPr="00295146">
              <w:rPr>
                <w:rFonts w:asciiTheme="minorHAnsi" w:eastAsia="Arial Unicode MS" w:hAnsiTheme="minorHAnsi" w:cstheme="minorHAnsi"/>
                <w:sz w:val="22"/>
                <w:szCs w:val="22"/>
              </w:rPr>
              <w:t>.</w:t>
            </w:r>
          </w:p>
        </w:tc>
      </w:tr>
      <w:tr w:rsidR="007F30A1"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 xml:space="preserve">Artigo 18, </w:t>
            </w:r>
            <w:r w:rsidR="003E21FC" w:rsidRPr="00295146">
              <w:rPr>
                <w:rFonts w:asciiTheme="minorHAnsi" w:eastAsia="Arial Unicode MS" w:hAnsiTheme="minorHAnsi" w:cstheme="minorHAnsi"/>
                <w:b/>
                <w:bCs/>
                <w:sz w:val="22"/>
                <w:szCs w:val="22"/>
              </w:rPr>
              <w:t xml:space="preserve">inclusão de </w:t>
            </w:r>
            <w:r w:rsidRPr="00295146">
              <w:rPr>
                <w:rFonts w:asciiTheme="minorHAnsi" w:eastAsia="Arial Unicode MS" w:hAnsiTheme="minorHAnsi" w:cstheme="minorHAnsi"/>
                <w:b/>
                <w:sz w:val="22"/>
                <w:szCs w:val="22"/>
              </w:rPr>
              <w:t>novo parágrafo</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295146" w:rsidRPr="00295146" w:rsidRDefault="00295146" w:rsidP="00295146">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Sugere-se a inclusão do seguinte parágrafo:</w:t>
            </w:r>
          </w:p>
          <w:p w:rsidR="00295146" w:rsidRPr="00295146" w:rsidRDefault="00295146" w:rsidP="00E6659B">
            <w:pPr>
              <w:spacing w:line="320" w:lineRule="atLeast"/>
              <w:jc w:val="both"/>
              <w:rPr>
                <w:rFonts w:asciiTheme="minorHAnsi" w:hAnsiTheme="minorHAnsi" w:cstheme="minorHAnsi"/>
                <w:b/>
                <w:color w:val="FF0000"/>
                <w:sz w:val="22"/>
                <w:szCs w:val="22"/>
                <w:shd w:val="clear" w:color="auto" w:fill="FFFFFF"/>
              </w:rPr>
            </w:pPr>
          </w:p>
          <w:p w:rsidR="007A5C55" w:rsidRPr="00295146" w:rsidRDefault="007F30A1" w:rsidP="00E6659B">
            <w:pPr>
              <w:spacing w:line="320" w:lineRule="atLeast"/>
              <w:jc w:val="both"/>
              <w:rPr>
                <w:rFonts w:asciiTheme="minorHAnsi" w:hAnsiTheme="minorHAnsi" w:cstheme="minorHAnsi"/>
                <w:b/>
                <w:color w:val="FF0000"/>
                <w:sz w:val="22"/>
                <w:szCs w:val="22"/>
              </w:rPr>
            </w:pPr>
            <w:r w:rsidRPr="00295146">
              <w:rPr>
                <w:rFonts w:asciiTheme="minorHAnsi" w:hAnsiTheme="minorHAnsi" w:cstheme="minorHAnsi"/>
                <w:b/>
                <w:color w:val="FF0000"/>
                <w:sz w:val="22"/>
                <w:szCs w:val="22"/>
                <w:shd w:val="clear" w:color="auto" w:fill="FFFFFF"/>
              </w:rPr>
              <w:t>§ </w:t>
            </w:r>
            <w:r w:rsidRPr="00295146">
              <w:rPr>
                <w:rFonts w:asciiTheme="minorHAnsi" w:hAnsiTheme="minorHAnsi" w:cstheme="minorHAnsi"/>
                <w:b/>
                <w:color w:val="FF0000"/>
                <w:sz w:val="22"/>
                <w:szCs w:val="22"/>
              </w:rPr>
              <w:t xml:space="preserve">novo – </w:t>
            </w:r>
            <w:r w:rsidR="007A5C55" w:rsidRPr="00295146">
              <w:rPr>
                <w:rFonts w:asciiTheme="minorHAnsi" w:hAnsiTheme="minorHAnsi" w:cstheme="minorHAnsi"/>
                <w:b/>
                <w:color w:val="FF0000"/>
                <w:sz w:val="22"/>
                <w:szCs w:val="22"/>
              </w:rPr>
              <w:t xml:space="preserve">Para a emissão da Nota de Eficiência Energético-Ambiental </w:t>
            </w:r>
            <w:r w:rsidR="00B57C7F" w:rsidRPr="00295146">
              <w:rPr>
                <w:rFonts w:asciiTheme="minorHAnsi" w:hAnsiTheme="minorHAnsi" w:cstheme="minorHAnsi"/>
                <w:b/>
                <w:color w:val="FF0000"/>
                <w:sz w:val="22"/>
                <w:szCs w:val="22"/>
              </w:rPr>
              <w:t>relativa a</w:t>
            </w:r>
            <w:r w:rsidR="007A5C55" w:rsidRPr="00295146">
              <w:rPr>
                <w:rFonts w:asciiTheme="minorHAnsi" w:hAnsiTheme="minorHAnsi" w:cstheme="minorHAnsi"/>
                <w:b/>
                <w:color w:val="FF0000"/>
                <w:sz w:val="22"/>
                <w:szCs w:val="22"/>
              </w:rPr>
              <w:t xml:space="preserve"> biocombustível importado</w:t>
            </w:r>
            <w:r w:rsidR="00B57C7F" w:rsidRPr="00295146">
              <w:rPr>
                <w:rFonts w:asciiTheme="minorHAnsi" w:hAnsiTheme="minorHAnsi" w:cstheme="minorHAnsi"/>
                <w:b/>
                <w:color w:val="FF0000"/>
                <w:sz w:val="22"/>
                <w:szCs w:val="22"/>
              </w:rPr>
              <w:t>, o importador de biocombustível deverá comprovar que o biocombustível foi produzido de acordo com a legislação ambiental vigente no país de origem.</w:t>
            </w:r>
            <w:r w:rsidR="007A5C55" w:rsidRPr="00295146">
              <w:rPr>
                <w:rFonts w:asciiTheme="minorHAnsi" w:hAnsiTheme="minorHAnsi" w:cstheme="minorHAnsi"/>
                <w:b/>
                <w:color w:val="FF0000"/>
                <w:sz w:val="22"/>
                <w:szCs w:val="22"/>
              </w:rPr>
              <w:t xml:space="preserve"> </w:t>
            </w:r>
          </w:p>
          <w:p w:rsidR="007A5C55" w:rsidRPr="00295146" w:rsidRDefault="007A5C55" w:rsidP="00B57C7F">
            <w:pPr>
              <w:spacing w:line="320" w:lineRule="atLeast"/>
              <w:jc w:val="both"/>
              <w:rPr>
                <w:rFonts w:asciiTheme="minorHAnsi" w:hAnsiTheme="minorHAnsi" w:cstheme="minorHAnsi"/>
                <w:b/>
                <w:color w:val="FF0000"/>
                <w:sz w:val="22"/>
                <w:szCs w:val="22"/>
              </w:rPr>
            </w:pPr>
          </w:p>
          <w:p w:rsidR="007F30A1" w:rsidRPr="00295146" w:rsidRDefault="007F30A1" w:rsidP="00E6659B">
            <w:pPr>
              <w:spacing w:line="320" w:lineRule="atLeast"/>
              <w:jc w:val="both"/>
              <w:rPr>
                <w:rFonts w:asciiTheme="minorHAnsi" w:eastAsia="Arial Unicode MS" w:hAnsiTheme="minorHAnsi" w:cstheme="minorHAnsi"/>
                <w:b/>
                <w:color w:val="FF0000"/>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hAnsiTheme="minorHAnsi" w:cstheme="minorHAnsi"/>
                <w:sz w:val="22"/>
                <w:szCs w:val="22"/>
              </w:rPr>
            </w:pPr>
            <w:r w:rsidRPr="00295146">
              <w:rPr>
                <w:rFonts w:asciiTheme="minorHAnsi" w:hAnsiTheme="minorHAnsi" w:cstheme="minorHAnsi"/>
                <w:sz w:val="22"/>
                <w:szCs w:val="22"/>
              </w:rPr>
              <w:t>O cumprimento da legislação ambiental em vigor também deve ser exigido para o</w:t>
            </w:r>
            <w:r w:rsidR="00B57C7F" w:rsidRPr="00295146">
              <w:rPr>
                <w:rFonts w:asciiTheme="minorHAnsi" w:hAnsiTheme="minorHAnsi" w:cstheme="minorHAnsi"/>
                <w:sz w:val="22"/>
                <w:szCs w:val="22"/>
              </w:rPr>
              <w:t xml:space="preserve"> biocombustível importado, garantindo a</w:t>
            </w:r>
            <w:r w:rsidRPr="00295146">
              <w:rPr>
                <w:rFonts w:asciiTheme="minorHAnsi" w:hAnsiTheme="minorHAnsi" w:cstheme="minorHAnsi"/>
                <w:sz w:val="22"/>
                <w:szCs w:val="22"/>
              </w:rPr>
              <w:t xml:space="preserve"> isonomia em relação aos produtores brasileiros. Nesse caso, a exigência do CAR deve ser substituída pelos critérios estabelecid</w:t>
            </w:r>
            <w:r w:rsidR="00E6659B" w:rsidRPr="00295146">
              <w:rPr>
                <w:rFonts w:asciiTheme="minorHAnsi" w:hAnsiTheme="minorHAnsi" w:cstheme="minorHAnsi"/>
                <w:sz w:val="22"/>
                <w:szCs w:val="22"/>
              </w:rPr>
              <w:t>os</w:t>
            </w:r>
            <w:r w:rsidRPr="00295146">
              <w:rPr>
                <w:rFonts w:asciiTheme="minorHAnsi" w:hAnsiTheme="minorHAnsi" w:cstheme="minorHAnsi"/>
                <w:sz w:val="22"/>
                <w:szCs w:val="22"/>
              </w:rPr>
              <w:t xml:space="preserve"> pela legislação ambiental vigente no país de origem</w:t>
            </w:r>
            <w:r w:rsidR="00B57C7F" w:rsidRPr="00295146">
              <w:rPr>
                <w:rFonts w:asciiTheme="minorHAnsi" w:hAnsiTheme="minorHAnsi" w:cstheme="minorHAnsi"/>
                <w:sz w:val="22"/>
                <w:szCs w:val="22"/>
              </w:rPr>
              <w:t>. Considerando que o importador de biocombustíveis é o emissor primário, ele deve ser o responsável por comprovar que o produto importado foi produzido de acordo com a legislação vigente no país em que foi produzido.</w:t>
            </w:r>
          </w:p>
          <w:p w:rsidR="007F30A1" w:rsidRPr="00295146" w:rsidRDefault="007F30A1" w:rsidP="00E6659B">
            <w:pPr>
              <w:spacing w:line="320" w:lineRule="atLeast"/>
              <w:jc w:val="both"/>
              <w:rPr>
                <w:rFonts w:asciiTheme="minorHAnsi" w:eastAsia="Arial Unicode MS" w:hAnsiTheme="minorHAnsi" w:cstheme="minorHAnsi"/>
                <w:sz w:val="22"/>
                <w:szCs w:val="22"/>
              </w:rPr>
            </w:pPr>
          </w:p>
        </w:tc>
      </w:tr>
      <w:tr w:rsidR="007F30A1"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Artigo 19</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62638B" w:rsidP="00E6659B">
            <w:pPr>
              <w:shd w:val="clear" w:color="auto" w:fill="FFFFFF"/>
              <w:spacing w:after="120" w:line="320" w:lineRule="atLeast"/>
              <w:jc w:val="both"/>
              <w:rPr>
                <w:rFonts w:asciiTheme="minorHAnsi" w:hAnsiTheme="minorHAnsi" w:cstheme="minorHAnsi"/>
                <w:sz w:val="22"/>
                <w:szCs w:val="22"/>
              </w:rPr>
            </w:pPr>
            <w:r>
              <w:rPr>
                <w:rFonts w:asciiTheme="minorHAnsi" w:eastAsia="Arial Unicode MS" w:hAnsiTheme="minorHAnsi" w:cstheme="minorHAnsi"/>
                <w:color w:val="000000"/>
                <w:sz w:val="22"/>
                <w:szCs w:val="22"/>
              </w:rPr>
              <w:t xml:space="preserve">Sugere-se a supressão integral do artigo 19. </w:t>
            </w: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62638B" w:rsidP="00E6659B">
            <w:pPr>
              <w:spacing w:line="320" w:lineRule="atLeast"/>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A supressão se justifica</w:t>
            </w:r>
            <w:r w:rsidR="009158FE">
              <w:rPr>
                <w:rFonts w:asciiTheme="minorHAnsi" w:eastAsia="Arial Unicode MS" w:hAnsiTheme="minorHAnsi" w:cstheme="minorHAnsi"/>
                <w:sz w:val="22"/>
                <w:szCs w:val="22"/>
              </w:rPr>
              <w:t xml:space="preserve"> no fato de que</w:t>
            </w:r>
            <w:r>
              <w:rPr>
                <w:rFonts w:asciiTheme="minorHAnsi" w:eastAsia="Arial Unicode MS" w:hAnsiTheme="minorHAnsi" w:cstheme="minorHAnsi"/>
                <w:sz w:val="22"/>
                <w:szCs w:val="22"/>
              </w:rPr>
              <w:t xml:space="preserve"> o referido artigo cria condicionantes de elegibilidade exclusivas apenas para os biocombustíveis produzidos a partir de cana-de-açúcar e palma, estabelecendo, portanto, um tratamento não isonômico aos produtores de biocombustíveis no âmbito do RenovaBio. Especificamente com relação ao </w:t>
            </w:r>
            <w:r w:rsidRPr="0062638B">
              <w:rPr>
                <w:rFonts w:asciiTheme="minorHAnsi" w:eastAsia="Arial Unicode MS" w:hAnsiTheme="minorHAnsi" w:cstheme="minorHAnsi"/>
                <w:sz w:val="22"/>
                <w:szCs w:val="22"/>
              </w:rPr>
              <w:t>Zoneamento Agroecológico da cana-de-açúcar (ZAE Cana)</w:t>
            </w:r>
            <w:r w:rsidR="009158FE">
              <w:rPr>
                <w:rFonts w:asciiTheme="minorHAnsi" w:eastAsia="Arial Unicode MS" w:hAnsiTheme="minorHAnsi" w:cstheme="minorHAnsi"/>
                <w:sz w:val="22"/>
                <w:szCs w:val="22"/>
              </w:rPr>
              <w:t>, existem diversos problemas de ordem técnica que impossibilitam o seu emprego para a finalidade a</w:t>
            </w:r>
            <w:r w:rsidR="001B47FF">
              <w:rPr>
                <w:rFonts w:asciiTheme="minorHAnsi" w:eastAsia="Arial Unicode MS" w:hAnsiTheme="minorHAnsi" w:cstheme="minorHAnsi"/>
                <w:sz w:val="22"/>
                <w:szCs w:val="22"/>
              </w:rPr>
              <w:t xml:space="preserve"> que se pretende no âmbito do RenovaBio. Desta forma, entendemos que o referido artigo </w:t>
            </w:r>
            <w:r w:rsidR="009158FE">
              <w:rPr>
                <w:rFonts w:asciiTheme="minorHAnsi" w:eastAsia="Arial Unicode MS" w:hAnsiTheme="minorHAnsi" w:cstheme="minorHAnsi"/>
                <w:sz w:val="22"/>
                <w:szCs w:val="22"/>
              </w:rPr>
              <w:t>incorpora um tratamento diferenciado entre os produtores de biomassa a partir de um material de consistência técnica inadequada para o propósito desejado.</w:t>
            </w:r>
            <w:r w:rsidR="001B47FF">
              <w:rPr>
                <w:rFonts w:asciiTheme="minorHAnsi" w:eastAsia="Arial Unicode MS" w:hAnsiTheme="minorHAnsi" w:cstheme="minorHAnsi"/>
                <w:sz w:val="22"/>
                <w:szCs w:val="22"/>
              </w:rPr>
              <w:t xml:space="preserve"> </w:t>
            </w:r>
          </w:p>
        </w:tc>
      </w:tr>
      <w:tr w:rsidR="007D7833" w:rsidRPr="00295146" w:rsidTr="007D7833">
        <w:trPr>
          <w:gridAfter w:val="1"/>
          <w:wAfter w:w="25" w:type="dxa"/>
          <w:trHeight w:val="636"/>
        </w:trPr>
        <w:tc>
          <w:tcPr>
            <w:tcW w:w="2694" w:type="dxa"/>
            <w:gridSpan w:val="2"/>
            <w:vMerge w:val="restart"/>
            <w:tcBorders>
              <w:top w:val="single" w:sz="4" w:space="0" w:color="auto"/>
              <w:left w:val="single" w:sz="4" w:space="0" w:color="auto"/>
              <w:right w:val="single" w:sz="4" w:space="0" w:color="auto"/>
            </w:tcBorders>
            <w:shd w:val="clear" w:color="auto" w:fill="FFFFFF"/>
            <w:tcMar>
              <w:top w:w="20" w:type="dxa"/>
              <w:left w:w="20" w:type="dxa"/>
              <w:bottom w:w="0" w:type="dxa"/>
              <w:right w:w="20" w:type="dxa"/>
            </w:tcMar>
            <w:vAlign w:val="center"/>
          </w:tcPr>
          <w:p w:rsidR="007D7833" w:rsidRPr="00295146" w:rsidRDefault="007D7833" w:rsidP="00800D66">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Artigo 20, § 2º</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D7833" w:rsidRPr="00295146" w:rsidRDefault="007D7833" w:rsidP="00800D66">
            <w:pPr>
              <w:pStyle w:val="TextosemFormatao"/>
              <w:jc w:val="both"/>
              <w:rPr>
                <w:rFonts w:asciiTheme="minorHAnsi" w:hAnsiTheme="minorHAnsi" w:cstheme="minorHAnsi"/>
              </w:rPr>
            </w:pPr>
            <w:r w:rsidRPr="00295146">
              <w:rPr>
                <w:rFonts w:asciiTheme="minorHAnsi" w:hAnsiTheme="minorHAnsi" w:cstheme="minorHAnsi"/>
              </w:rPr>
              <w:t>Sugere-se a modificação do § 2º:</w:t>
            </w:r>
          </w:p>
          <w:p w:rsidR="007D7833" w:rsidRPr="00295146" w:rsidRDefault="007D7833" w:rsidP="00800D66">
            <w:pPr>
              <w:pStyle w:val="TextosemFormatao"/>
              <w:jc w:val="both"/>
              <w:rPr>
                <w:rFonts w:asciiTheme="minorHAnsi" w:hAnsiTheme="minorHAnsi" w:cstheme="minorHAnsi"/>
              </w:rPr>
            </w:pPr>
          </w:p>
          <w:p w:rsidR="007D7833" w:rsidRPr="00295146" w:rsidRDefault="007D7833" w:rsidP="00800D66">
            <w:pPr>
              <w:pStyle w:val="TextosemFormatao"/>
              <w:jc w:val="both"/>
              <w:rPr>
                <w:rFonts w:asciiTheme="minorHAnsi" w:hAnsiTheme="minorHAnsi" w:cstheme="minorHAnsi"/>
              </w:rPr>
            </w:pPr>
            <w:r w:rsidRPr="00295146">
              <w:rPr>
                <w:rFonts w:asciiTheme="minorHAnsi" w:hAnsiTheme="minorHAnsi" w:cstheme="minorHAnsi"/>
              </w:rPr>
              <w:t xml:space="preserve">§ 2º  Para o cálculo da Nota de Eficiência Energético-Ambiental, o emissor primário pode utilizar os dados de venda de energia elétrica por outro CNPJ, desde que ocorra a partir de coprodutos ou resíduos do processo de produção do biocombustível certificado da unidade produtora de biocombustível </w:t>
            </w:r>
            <w:r w:rsidRPr="00295146">
              <w:rPr>
                <w:rFonts w:asciiTheme="minorHAnsi" w:hAnsiTheme="minorHAnsi" w:cstheme="minorHAnsi"/>
                <w:b/>
                <w:bCs/>
                <w:color w:val="FF0000"/>
                <w:u w:val="single"/>
              </w:rPr>
              <w:t>e a geração da energia seja operada pelo emissor primário ou ainda que a unidade produtora de energia e o emissor primário sejam controlados por uma mesma pessoa jurídica</w:t>
            </w:r>
            <w:r w:rsidRPr="00295146">
              <w:rPr>
                <w:rFonts w:asciiTheme="minorHAnsi" w:hAnsiTheme="minorHAnsi" w:cstheme="minorHAnsi"/>
                <w:color w:val="FF0000"/>
              </w:rPr>
              <w:t>.</w:t>
            </w:r>
          </w:p>
          <w:p w:rsidR="007D7833" w:rsidRPr="00295146" w:rsidRDefault="007D7833" w:rsidP="00800D66">
            <w:pPr>
              <w:pStyle w:val="TextosemFormatao"/>
              <w:jc w:val="both"/>
              <w:rPr>
                <w:rFonts w:asciiTheme="minorHAnsi" w:hAnsiTheme="minorHAnsi" w:cstheme="minorHAnsi"/>
              </w:rPr>
            </w:pPr>
          </w:p>
        </w:tc>
        <w:tc>
          <w:tcPr>
            <w:tcW w:w="5670" w:type="dxa"/>
            <w:gridSpan w:val="2"/>
            <w:vMerge w:val="restart"/>
            <w:tcBorders>
              <w:top w:val="single" w:sz="4" w:space="0" w:color="auto"/>
              <w:left w:val="nil"/>
              <w:right w:val="single" w:sz="4" w:space="0" w:color="auto"/>
            </w:tcBorders>
            <w:shd w:val="clear" w:color="auto" w:fill="FFFFFF"/>
            <w:tcMar>
              <w:top w:w="20" w:type="dxa"/>
              <w:left w:w="20" w:type="dxa"/>
              <w:bottom w:w="0" w:type="dxa"/>
              <w:right w:w="20" w:type="dxa"/>
            </w:tcMar>
            <w:vAlign w:val="center"/>
          </w:tcPr>
          <w:p w:rsidR="007D7833" w:rsidRPr="00295146" w:rsidRDefault="007D7833" w:rsidP="00800D66">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O art. 20, § 2º, da proposta de resolução pode ensejar a interpretação de que, na hipótese de a biomassa utilizada na geração de energia ser proveniente de terceiros, estes poderão se valer do volume de energia comercializada para fins de obtenção da certificação disciplinada pelo art. 22.</w:t>
            </w:r>
            <w:r w:rsidR="0034067A">
              <w:rPr>
                <w:rFonts w:asciiTheme="minorHAnsi" w:eastAsia="Arial Unicode MS" w:hAnsiTheme="minorHAnsi" w:cstheme="minorHAnsi"/>
                <w:sz w:val="22"/>
                <w:szCs w:val="22"/>
              </w:rPr>
              <w:t xml:space="preserve"> </w:t>
            </w:r>
            <w:r w:rsidRPr="00295146">
              <w:rPr>
                <w:rFonts w:asciiTheme="minorHAnsi" w:eastAsia="Arial Unicode MS" w:hAnsiTheme="minorHAnsi" w:cstheme="minorHAnsi"/>
                <w:sz w:val="22"/>
                <w:szCs w:val="22"/>
              </w:rPr>
              <w:t>Em primeiro, isso se deve ao fato de que o eventual emissor primário que forneça biomassa para a produção de energia por terceiros não consegue dimensionar o volume de energia comercializado por terceiros. Diante disso, o benefício potencialmente gerado tende a ser perdido.</w:t>
            </w:r>
            <w:r w:rsidR="0034067A">
              <w:rPr>
                <w:rFonts w:asciiTheme="minorHAnsi" w:eastAsia="Arial Unicode MS" w:hAnsiTheme="minorHAnsi" w:cstheme="minorHAnsi"/>
                <w:sz w:val="22"/>
                <w:szCs w:val="22"/>
              </w:rPr>
              <w:t xml:space="preserve"> </w:t>
            </w:r>
            <w:r w:rsidRPr="00295146">
              <w:rPr>
                <w:rFonts w:asciiTheme="minorHAnsi" w:eastAsia="Arial Unicode MS" w:hAnsiTheme="minorHAnsi" w:cstheme="minorHAnsi"/>
                <w:sz w:val="22"/>
                <w:szCs w:val="22"/>
              </w:rPr>
              <w:t>Em segundo, porque este tipo de previsão gera, de um lado, desincentivo às geradoras de energia e, de outro, um incentivo perverso às produtoras de biocombustíveis que não atuam na geração de energia, embora forneçam biomassa a geradores de energia limpa.</w:t>
            </w:r>
            <w:r w:rsidR="003802CE">
              <w:rPr>
                <w:rFonts w:asciiTheme="minorHAnsi" w:eastAsia="Arial Unicode MS" w:hAnsiTheme="minorHAnsi" w:cstheme="minorHAnsi"/>
                <w:sz w:val="22"/>
                <w:szCs w:val="22"/>
              </w:rPr>
              <w:t xml:space="preserve"> </w:t>
            </w:r>
            <w:r w:rsidRPr="00295146">
              <w:rPr>
                <w:rFonts w:asciiTheme="minorHAnsi" w:eastAsia="Arial Unicode MS" w:hAnsiTheme="minorHAnsi" w:cstheme="minorHAnsi"/>
                <w:sz w:val="22"/>
                <w:szCs w:val="22"/>
              </w:rPr>
              <w:t xml:space="preserve">Com efeito, a medida tende a </w:t>
            </w:r>
            <w:r w:rsidR="00F45913">
              <w:rPr>
                <w:rFonts w:asciiTheme="minorHAnsi" w:eastAsia="Arial Unicode MS" w:hAnsiTheme="minorHAnsi" w:cstheme="minorHAnsi"/>
                <w:sz w:val="22"/>
                <w:szCs w:val="22"/>
              </w:rPr>
              <w:t>desestimular os</w:t>
            </w:r>
            <w:r w:rsidRPr="00295146">
              <w:rPr>
                <w:rFonts w:asciiTheme="minorHAnsi" w:eastAsia="Arial Unicode MS" w:hAnsiTheme="minorHAnsi" w:cstheme="minorHAnsi"/>
                <w:sz w:val="22"/>
                <w:szCs w:val="22"/>
              </w:rPr>
              <w:t xml:space="preserve"> agentes econômicos que geram energia sustentável a partir da aquisição de insumos de terceiros, que não poderão se beneficiar do volume de energia gerado partir da coprodutos ou resíduos do processo produtivo de terceiros para fins de identificação da </w:t>
            </w:r>
            <w:r w:rsidRPr="00295146">
              <w:rPr>
                <w:rFonts w:asciiTheme="minorHAnsi" w:eastAsia="Arial Unicode MS" w:hAnsiTheme="minorHAnsi" w:cstheme="minorHAnsi"/>
                <w:color w:val="000000"/>
                <w:sz w:val="22"/>
                <w:szCs w:val="22"/>
              </w:rPr>
              <w:t>Nota de Eficiência Energético-Ambiental.</w:t>
            </w:r>
            <w:r w:rsidR="003802CE">
              <w:rPr>
                <w:rFonts w:asciiTheme="minorHAnsi" w:eastAsia="Arial Unicode MS" w:hAnsiTheme="minorHAnsi" w:cstheme="minorHAnsi"/>
                <w:sz w:val="22"/>
                <w:szCs w:val="22"/>
              </w:rPr>
              <w:t xml:space="preserve"> </w:t>
            </w:r>
            <w:r w:rsidRPr="00295146">
              <w:rPr>
                <w:rFonts w:asciiTheme="minorHAnsi" w:eastAsia="Arial Unicode MS" w:hAnsiTheme="minorHAnsi" w:cstheme="minorHAnsi"/>
                <w:sz w:val="22"/>
                <w:szCs w:val="22"/>
              </w:rPr>
              <w:t xml:space="preserve">Há, também, um incentivo perverso às empresas que atuam com exclusividade na produção de biocombustível, pois, se a produtora de biocombustível se beneficia da geração de energia limpa por terceiros que adquirem sua biomassa, ela não terá qualquer incentivo para investir na geração de energia limpa. </w:t>
            </w:r>
          </w:p>
          <w:p w:rsidR="007D7833" w:rsidRPr="003802CE" w:rsidRDefault="007D7833" w:rsidP="003802CE">
            <w:pPr>
              <w:spacing w:line="320" w:lineRule="atLeast"/>
              <w:jc w:val="both"/>
              <w:rPr>
                <w:rFonts w:asciiTheme="minorHAnsi" w:eastAsia="Arial Unicode MS" w:hAnsiTheme="minorHAnsi" w:cstheme="minorHAnsi"/>
                <w:sz w:val="22"/>
                <w:szCs w:val="22"/>
              </w:rPr>
            </w:pPr>
            <w:r w:rsidRPr="003802CE">
              <w:rPr>
                <w:rFonts w:asciiTheme="minorHAnsi" w:eastAsia="Arial Unicode MS" w:hAnsiTheme="minorHAnsi" w:cstheme="minorHAnsi"/>
                <w:color w:val="000000"/>
                <w:sz w:val="22"/>
                <w:szCs w:val="22"/>
              </w:rPr>
              <w:t xml:space="preserve"> </w:t>
            </w:r>
          </w:p>
        </w:tc>
      </w:tr>
      <w:tr w:rsidR="007D7833" w:rsidRPr="00295146" w:rsidTr="007D7833">
        <w:trPr>
          <w:gridAfter w:val="1"/>
          <w:wAfter w:w="25" w:type="dxa"/>
          <w:trHeight w:val="636"/>
        </w:trPr>
        <w:tc>
          <w:tcPr>
            <w:tcW w:w="2694" w:type="dxa"/>
            <w:gridSpan w:val="2"/>
            <w:vMerge/>
            <w:tcBorders>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7D7833" w:rsidRPr="00295146" w:rsidRDefault="007D7833" w:rsidP="00800D66">
            <w:pPr>
              <w:spacing w:line="320" w:lineRule="atLeast"/>
              <w:jc w:val="both"/>
              <w:rPr>
                <w:rFonts w:asciiTheme="minorHAnsi" w:eastAsia="Arial Unicode MS" w:hAnsiTheme="minorHAnsi" w:cstheme="minorHAnsi"/>
                <w:b/>
                <w:sz w:val="22"/>
                <w:szCs w:val="22"/>
              </w:rPr>
            </w:pP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D7833" w:rsidRPr="00295146" w:rsidRDefault="007D7833" w:rsidP="00800D66">
            <w:pPr>
              <w:spacing w:line="320" w:lineRule="atLeast"/>
              <w:jc w:val="both"/>
              <w:rPr>
                <w:rFonts w:asciiTheme="minorHAnsi" w:eastAsia="Arial Unicode MS" w:hAnsiTheme="minorHAnsi" w:cstheme="minorHAnsi"/>
                <w:color w:val="000000"/>
                <w:sz w:val="22"/>
                <w:szCs w:val="22"/>
              </w:rPr>
            </w:pPr>
            <w:r w:rsidRPr="00295146">
              <w:rPr>
                <w:rFonts w:asciiTheme="minorHAnsi" w:eastAsia="Arial Unicode MS" w:hAnsiTheme="minorHAnsi" w:cstheme="minorHAnsi"/>
                <w:color w:val="000000"/>
                <w:sz w:val="22"/>
                <w:szCs w:val="22"/>
              </w:rPr>
              <w:t>Em complemento, sugere-se a inclusão de parágrafo adicional ao art. 20, conforme redação abaixo:</w:t>
            </w:r>
          </w:p>
          <w:p w:rsidR="007D7833" w:rsidRPr="00295146" w:rsidRDefault="007D7833" w:rsidP="00800D66">
            <w:pPr>
              <w:spacing w:line="320" w:lineRule="atLeast"/>
              <w:jc w:val="both"/>
              <w:rPr>
                <w:rFonts w:asciiTheme="minorHAnsi" w:eastAsia="Arial Unicode MS" w:hAnsiTheme="minorHAnsi" w:cstheme="minorHAnsi"/>
                <w:color w:val="000000"/>
                <w:sz w:val="22"/>
                <w:szCs w:val="22"/>
              </w:rPr>
            </w:pPr>
          </w:p>
          <w:p w:rsidR="007D7833" w:rsidRPr="00295146" w:rsidRDefault="007D7833" w:rsidP="00800D66">
            <w:pPr>
              <w:spacing w:line="320" w:lineRule="atLeast"/>
              <w:jc w:val="both"/>
              <w:rPr>
                <w:rFonts w:asciiTheme="minorHAnsi" w:eastAsia="Arial Unicode MS" w:hAnsiTheme="minorHAnsi" w:cstheme="minorHAnsi"/>
                <w:color w:val="000000"/>
                <w:sz w:val="22"/>
                <w:szCs w:val="22"/>
              </w:rPr>
            </w:pPr>
            <w:r w:rsidRPr="00295146">
              <w:rPr>
                <w:rFonts w:asciiTheme="minorHAnsi" w:eastAsia="Arial Unicode MS" w:hAnsiTheme="minorHAnsi" w:cstheme="minorHAnsi"/>
                <w:color w:val="000000"/>
                <w:sz w:val="22"/>
                <w:szCs w:val="22"/>
              </w:rPr>
              <w:t xml:space="preserve">§ </w:t>
            </w:r>
            <w:r w:rsidR="008F4536" w:rsidRPr="00295146">
              <w:rPr>
                <w:rFonts w:asciiTheme="minorHAnsi" w:hAnsiTheme="minorHAnsi" w:cstheme="minorHAnsi"/>
                <w:b/>
                <w:color w:val="FF0000"/>
                <w:sz w:val="22"/>
                <w:szCs w:val="22"/>
                <w:shd w:val="clear" w:color="auto" w:fill="FFFFFF"/>
              </w:rPr>
              <w:t>§ </w:t>
            </w:r>
            <w:r w:rsidR="008F4536" w:rsidRPr="00295146">
              <w:rPr>
                <w:rFonts w:asciiTheme="minorHAnsi" w:hAnsiTheme="minorHAnsi" w:cstheme="minorHAnsi"/>
                <w:b/>
                <w:color w:val="FF0000"/>
                <w:sz w:val="22"/>
                <w:szCs w:val="22"/>
              </w:rPr>
              <w:t>novo –</w:t>
            </w:r>
            <w:r w:rsidRPr="00295146">
              <w:rPr>
                <w:rFonts w:asciiTheme="minorHAnsi" w:eastAsia="Arial Unicode MS" w:hAnsiTheme="minorHAnsi" w:cstheme="minorHAnsi"/>
                <w:color w:val="000000"/>
                <w:sz w:val="22"/>
                <w:szCs w:val="22"/>
              </w:rPr>
              <w:t xml:space="preserve"> </w:t>
            </w:r>
            <w:r w:rsidRPr="00295146">
              <w:rPr>
                <w:rFonts w:asciiTheme="minorHAnsi" w:eastAsia="Arial Unicode MS" w:hAnsiTheme="minorHAnsi" w:cstheme="minorHAnsi"/>
                <w:b/>
                <w:color w:val="FF0000"/>
                <w:sz w:val="22"/>
                <w:szCs w:val="22"/>
              </w:rPr>
              <w:t>O disposto no § 2º não impede o emissor primário de considerar, para o cálculo da Nota de Eficiência Energético-Ambiental, a totalidade da energia comercializada, independentemente de os coprodutos ou resíduos utilizados na geração desta energia serem oriundos do seu próprio processo produtivo ou adquirido de terceiros.</w:t>
            </w:r>
            <w:r w:rsidRPr="00295146">
              <w:rPr>
                <w:rFonts w:asciiTheme="minorHAnsi" w:eastAsia="Arial Unicode MS" w:hAnsiTheme="minorHAnsi" w:cstheme="minorHAnsi"/>
                <w:color w:val="FF0000"/>
                <w:sz w:val="22"/>
                <w:szCs w:val="22"/>
              </w:rPr>
              <w:t xml:space="preserve"> </w:t>
            </w:r>
          </w:p>
          <w:p w:rsidR="007D7833" w:rsidRPr="00295146" w:rsidRDefault="007D7833" w:rsidP="00800D66">
            <w:pPr>
              <w:spacing w:line="320" w:lineRule="atLeast"/>
              <w:jc w:val="both"/>
              <w:rPr>
                <w:rFonts w:asciiTheme="minorHAnsi" w:eastAsia="Arial Unicode MS" w:hAnsiTheme="minorHAnsi" w:cstheme="minorHAnsi"/>
                <w:color w:val="000000"/>
                <w:sz w:val="22"/>
                <w:szCs w:val="22"/>
              </w:rPr>
            </w:pPr>
          </w:p>
          <w:p w:rsidR="007D7833" w:rsidRPr="00295146" w:rsidRDefault="007D7833" w:rsidP="00800D66">
            <w:pPr>
              <w:shd w:val="clear" w:color="auto" w:fill="FFFFFF"/>
              <w:spacing w:after="120"/>
              <w:jc w:val="both"/>
              <w:rPr>
                <w:rFonts w:asciiTheme="minorHAnsi" w:eastAsia="Arial Unicode MS" w:hAnsiTheme="minorHAnsi" w:cstheme="minorHAnsi"/>
                <w:color w:val="000000"/>
                <w:sz w:val="22"/>
                <w:szCs w:val="22"/>
              </w:rPr>
            </w:pPr>
          </w:p>
        </w:tc>
        <w:tc>
          <w:tcPr>
            <w:tcW w:w="5670" w:type="dxa"/>
            <w:gridSpan w:val="2"/>
            <w:vMerge/>
            <w:tcBorders>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D7833" w:rsidRPr="00295146" w:rsidRDefault="007D7833" w:rsidP="00800D66">
            <w:pPr>
              <w:spacing w:line="320" w:lineRule="atLeast"/>
              <w:jc w:val="both"/>
              <w:rPr>
                <w:rFonts w:asciiTheme="minorHAnsi" w:eastAsia="Arial Unicode MS" w:hAnsiTheme="minorHAnsi" w:cstheme="minorHAnsi"/>
                <w:sz w:val="22"/>
                <w:szCs w:val="22"/>
              </w:rPr>
            </w:pPr>
          </w:p>
        </w:tc>
      </w:tr>
      <w:tr w:rsidR="007F30A1"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Artigo 20, parágrafo 3º</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0D7BC1" w:rsidP="00E6659B">
            <w:pPr>
              <w:spacing w:line="320" w:lineRule="atLeast"/>
              <w:jc w:val="both"/>
              <w:rPr>
                <w:rFonts w:asciiTheme="minorHAnsi" w:eastAsia="Arial Unicode MS" w:hAnsiTheme="minorHAnsi" w:cstheme="minorHAnsi"/>
                <w:color w:val="000000"/>
                <w:sz w:val="22"/>
                <w:szCs w:val="22"/>
              </w:rPr>
            </w:pPr>
            <w:r w:rsidRPr="00295146">
              <w:rPr>
                <w:rFonts w:asciiTheme="minorHAnsi" w:eastAsia="Arial Unicode MS" w:hAnsiTheme="minorHAnsi" w:cstheme="minorHAnsi"/>
                <w:color w:val="000000"/>
                <w:sz w:val="22"/>
                <w:szCs w:val="22"/>
              </w:rPr>
              <w:t xml:space="preserve">Sugere-se a supressão do </w:t>
            </w:r>
            <w:r w:rsidRPr="00295146">
              <w:rPr>
                <w:rFonts w:asciiTheme="minorHAnsi" w:hAnsiTheme="minorHAnsi" w:cstheme="minorHAnsi"/>
                <w:color w:val="000000"/>
                <w:sz w:val="22"/>
                <w:szCs w:val="22"/>
              </w:rPr>
              <w:t>parágrafo</w:t>
            </w:r>
            <w:r w:rsidRPr="00295146">
              <w:rPr>
                <w:rFonts w:asciiTheme="minorHAnsi" w:eastAsia="Arial Unicode MS" w:hAnsiTheme="minorHAnsi" w:cstheme="minorHAnsi"/>
                <w:color w:val="000000"/>
                <w:sz w:val="22"/>
                <w:szCs w:val="22"/>
              </w:rPr>
              <w:t xml:space="preserve"> 3º, do art. 20:</w:t>
            </w:r>
          </w:p>
          <w:p w:rsidR="000D7BC1" w:rsidRPr="00295146" w:rsidRDefault="000D7BC1" w:rsidP="00E6659B">
            <w:pPr>
              <w:spacing w:line="320" w:lineRule="atLeast"/>
              <w:jc w:val="both"/>
              <w:rPr>
                <w:rFonts w:asciiTheme="minorHAnsi" w:eastAsia="Arial Unicode MS" w:hAnsiTheme="minorHAnsi" w:cstheme="minorHAnsi"/>
                <w:color w:val="000000"/>
                <w:sz w:val="22"/>
                <w:szCs w:val="22"/>
              </w:rPr>
            </w:pPr>
          </w:p>
          <w:p w:rsidR="007F30A1" w:rsidRPr="00295146" w:rsidRDefault="007F30A1" w:rsidP="00E6659B">
            <w:pPr>
              <w:pStyle w:val="Textodecomentrio"/>
              <w:spacing w:after="120" w:line="320" w:lineRule="atLeast"/>
              <w:jc w:val="both"/>
              <w:rPr>
                <w:rFonts w:asciiTheme="minorHAnsi" w:hAnsiTheme="minorHAnsi" w:cstheme="minorHAnsi"/>
                <w:b/>
                <w:strike/>
                <w:sz w:val="22"/>
                <w:szCs w:val="22"/>
              </w:rPr>
            </w:pPr>
            <w:r w:rsidRPr="00295146">
              <w:rPr>
                <w:rFonts w:asciiTheme="minorHAnsi" w:hAnsiTheme="minorHAnsi" w:cstheme="minorHAnsi"/>
                <w:b/>
                <w:strike/>
                <w:sz w:val="22"/>
                <w:szCs w:val="22"/>
              </w:rPr>
              <w:t>§ 3º É obrigatória a emissão de novo Certificado da Produção Eficiente de Biocombustíveis quando o monitoramento e o registro indicados no inciso VI identifiquem desvio de mais ou menos dez por cento (± 10 %) em relação aos resultados contidos na Nota de Eficiência Energético-Ambiental vigente.</w:t>
            </w:r>
          </w:p>
          <w:p w:rsidR="007F30A1" w:rsidRPr="00295146" w:rsidRDefault="007F30A1" w:rsidP="00E6659B">
            <w:pPr>
              <w:pStyle w:val="Textodecomentrio"/>
              <w:spacing w:after="120" w:line="320" w:lineRule="atLeast"/>
              <w:jc w:val="both"/>
              <w:rPr>
                <w:rFonts w:asciiTheme="minorHAnsi" w:hAnsiTheme="minorHAnsi" w:cstheme="minorHAnsi"/>
                <w:strike/>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 xml:space="preserve">Os produtores </w:t>
            </w:r>
            <w:r w:rsidR="00F76292" w:rsidRPr="00295146">
              <w:rPr>
                <w:rFonts w:asciiTheme="minorHAnsi" w:eastAsia="Arial Unicode MS" w:hAnsiTheme="minorHAnsi" w:cstheme="minorHAnsi"/>
                <w:sz w:val="22"/>
                <w:szCs w:val="22"/>
              </w:rPr>
              <w:t>realizarão</w:t>
            </w:r>
            <w:r w:rsidRPr="00295146">
              <w:rPr>
                <w:rFonts w:asciiTheme="minorHAnsi" w:eastAsia="Arial Unicode MS" w:hAnsiTheme="minorHAnsi" w:cstheme="minorHAnsi"/>
                <w:sz w:val="22"/>
                <w:szCs w:val="22"/>
              </w:rPr>
              <w:t xml:space="preserve"> o processo de certificação a cada dois anos (certificação com consulta pública e certificação de manutenção). Nessa certificação, serão adotados os parâmetros médios observados nas últimas quatro safras. Dessa forma, qualquer alteração na nota de eficiência especificamente no ano em que a certificação não foi aplicada</w:t>
            </w:r>
            <w:r w:rsidR="00F45913">
              <w:rPr>
                <w:rFonts w:asciiTheme="minorHAnsi" w:eastAsia="Arial Unicode MS" w:hAnsiTheme="minorHAnsi" w:cstheme="minorHAnsi"/>
                <w:sz w:val="22"/>
                <w:szCs w:val="22"/>
              </w:rPr>
              <w:t>,</w:t>
            </w:r>
            <w:r w:rsidRPr="00295146">
              <w:rPr>
                <w:rFonts w:asciiTheme="minorHAnsi" w:eastAsia="Arial Unicode MS" w:hAnsiTheme="minorHAnsi" w:cstheme="minorHAnsi"/>
                <w:sz w:val="22"/>
                <w:szCs w:val="22"/>
              </w:rPr>
              <w:t xml:space="preserve"> será refletida na nota do produtor na certificação a ser realizada no ano subsequente. Essa alteração visa </w:t>
            </w:r>
            <w:r w:rsidR="00F45913">
              <w:rPr>
                <w:rFonts w:asciiTheme="minorHAnsi" w:eastAsia="Arial Unicode MS" w:hAnsiTheme="minorHAnsi" w:cstheme="minorHAnsi"/>
                <w:sz w:val="22"/>
                <w:szCs w:val="22"/>
              </w:rPr>
              <w:t>uma</w:t>
            </w:r>
            <w:r w:rsidRPr="00295146">
              <w:rPr>
                <w:rFonts w:asciiTheme="minorHAnsi" w:eastAsia="Arial Unicode MS" w:hAnsiTheme="minorHAnsi" w:cstheme="minorHAnsi"/>
                <w:sz w:val="22"/>
                <w:szCs w:val="22"/>
              </w:rPr>
              <w:t xml:space="preserve"> operacionalização da certificação mais direta e objetiva, sem, contudo, promover qualquer prejuízo à quantificação das emissões. </w:t>
            </w:r>
          </w:p>
        </w:tc>
      </w:tr>
      <w:tr w:rsidR="007F30A1"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Artigo 22, Inciso I</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0D7BC1" w:rsidRPr="00295146" w:rsidRDefault="000D7BC1" w:rsidP="000D7BC1">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Sugere-se a seguinte adequação:</w:t>
            </w:r>
          </w:p>
          <w:p w:rsidR="007F30A1" w:rsidRPr="00295146" w:rsidRDefault="007F30A1" w:rsidP="00B57C7F">
            <w:pPr>
              <w:spacing w:line="320" w:lineRule="atLeast"/>
              <w:jc w:val="both"/>
              <w:rPr>
                <w:rFonts w:asciiTheme="minorHAnsi" w:eastAsia="Arial Unicode MS" w:hAnsiTheme="minorHAnsi" w:cstheme="minorHAnsi"/>
                <w:sz w:val="22"/>
                <w:szCs w:val="22"/>
              </w:rPr>
            </w:pPr>
          </w:p>
          <w:p w:rsidR="007F30A1" w:rsidRPr="00295146" w:rsidRDefault="007F30A1" w:rsidP="00B57C7F">
            <w:pPr>
              <w:spacing w:line="320" w:lineRule="atLeast"/>
              <w:jc w:val="both"/>
              <w:rPr>
                <w:rFonts w:asciiTheme="minorHAnsi" w:eastAsia="Arial Unicode MS" w:hAnsiTheme="minorHAnsi" w:cstheme="minorHAnsi"/>
                <w:sz w:val="22"/>
                <w:szCs w:val="22"/>
              </w:rPr>
            </w:pPr>
          </w:p>
          <w:p w:rsidR="007F30A1" w:rsidRPr="00295146" w:rsidRDefault="007F30A1" w:rsidP="00E6659B">
            <w:pPr>
              <w:pStyle w:val="Textodecomentrio"/>
              <w:spacing w:after="120" w:line="320" w:lineRule="atLeast"/>
              <w:jc w:val="both"/>
              <w:rPr>
                <w:rFonts w:asciiTheme="minorHAnsi" w:eastAsia="Arial Unicode MS" w:hAnsiTheme="minorHAnsi" w:cstheme="minorHAnsi"/>
                <w:color w:val="000000"/>
                <w:sz w:val="22"/>
                <w:szCs w:val="22"/>
              </w:rPr>
            </w:pPr>
            <w:r w:rsidRPr="00295146">
              <w:rPr>
                <w:rFonts w:asciiTheme="minorHAnsi" w:hAnsiTheme="minorHAnsi" w:cstheme="minorHAnsi"/>
                <w:sz w:val="22"/>
                <w:szCs w:val="22"/>
              </w:rPr>
              <w:t xml:space="preserve">I - </w:t>
            </w:r>
            <w:proofErr w:type="gramStart"/>
            <w:r w:rsidRPr="00295146">
              <w:rPr>
                <w:rFonts w:asciiTheme="minorHAnsi" w:hAnsiTheme="minorHAnsi" w:cstheme="minorHAnsi"/>
                <w:sz w:val="22"/>
                <w:szCs w:val="22"/>
              </w:rPr>
              <w:t>verificar e validar</w:t>
            </w:r>
            <w:proofErr w:type="gramEnd"/>
            <w:r w:rsidR="00F76292" w:rsidRPr="00295146">
              <w:rPr>
                <w:rFonts w:asciiTheme="minorHAnsi" w:hAnsiTheme="minorHAnsi" w:cstheme="minorHAnsi"/>
                <w:b/>
                <w:color w:val="FF0000"/>
                <w:sz w:val="22"/>
                <w:szCs w:val="22"/>
              </w:rPr>
              <w:t>, conforme procedimento de amostragem definido pela ANP,</w:t>
            </w:r>
            <w:r w:rsidRPr="00295146">
              <w:rPr>
                <w:rFonts w:asciiTheme="minorHAnsi" w:hAnsiTheme="minorHAnsi" w:cstheme="minorHAnsi"/>
                <w:sz w:val="22"/>
                <w:szCs w:val="22"/>
              </w:rPr>
              <w:t xml:space="preserve"> </w:t>
            </w:r>
            <w:r w:rsidRPr="00295146">
              <w:rPr>
                <w:rFonts w:asciiTheme="minorHAnsi" w:hAnsiTheme="minorHAnsi" w:cstheme="minorHAnsi"/>
                <w:b/>
                <w:strike/>
                <w:sz w:val="22"/>
                <w:szCs w:val="22"/>
              </w:rPr>
              <w:t xml:space="preserve">todos </w:t>
            </w:r>
            <w:r w:rsidRPr="00295146">
              <w:rPr>
                <w:rFonts w:asciiTheme="minorHAnsi" w:hAnsiTheme="minorHAnsi" w:cstheme="minorHAnsi"/>
                <w:sz w:val="22"/>
                <w:szCs w:val="22"/>
              </w:rPr>
              <w:t>os documentos necessários para comprovação da veracidade das informações necessárias para cálculo da Nota de Eficiência Energético-Ambiental</w:t>
            </w: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D1DE4" w:rsidRPr="00295146" w:rsidRDefault="007D1DE4" w:rsidP="007D1DE4">
            <w:pPr>
              <w:jc w:val="both"/>
              <w:rPr>
                <w:rFonts w:asciiTheme="minorHAnsi" w:eastAsia="Arial Unicode MS" w:hAnsiTheme="minorHAnsi" w:cstheme="minorHAnsi"/>
                <w:sz w:val="22"/>
                <w:szCs w:val="22"/>
              </w:rPr>
            </w:pPr>
            <w:r w:rsidRPr="00295146">
              <w:rPr>
                <w:rFonts w:asciiTheme="minorHAnsi" w:hAnsiTheme="minorHAnsi" w:cstheme="minorHAnsi"/>
                <w:sz w:val="22"/>
                <w:szCs w:val="22"/>
              </w:rPr>
              <w:t xml:space="preserve">Todo processo de certificação realizado pelos produtores, incluindo aqueles exigidos para comprovação de emissões no âmbito do programa de biocombustíveis dos Estados Unidos ou do programa de biocombustíveis da Califórnia, é realizado a partir de amostragem. Trata-se de método racional definido na norma ISO 19011 que visa alcançar conclusões de auditoria confiáveis e reproduzíveis em um processo sistemático de </w:t>
            </w:r>
            <w:r w:rsidR="00F45913">
              <w:rPr>
                <w:rFonts w:asciiTheme="minorHAnsi" w:hAnsiTheme="minorHAnsi" w:cstheme="minorHAnsi"/>
                <w:sz w:val="22"/>
                <w:szCs w:val="22"/>
              </w:rPr>
              <w:t>verificação</w:t>
            </w:r>
            <w:r w:rsidRPr="00295146">
              <w:rPr>
                <w:rFonts w:asciiTheme="minorHAnsi" w:hAnsiTheme="minorHAnsi" w:cstheme="minorHAnsi"/>
                <w:sz w:val="22"/>
                <w:szCs w:val="22"/>
              </w:rPr>
              <w:t xml:space="preserve">. A auditoria é baseada em amostras das informações disponíveis, uma vez que é realizada durante um período finito de tempo e com recursos </w:t>
            </w:r>
            <w:r w:rsidR="00F45913">
              <w:rPr>
                <w:rFonts w:asciiTheme="minorHAnsi" w:hAnsiTheme="minorHAnsi" w:cstheme="minorHAnsi"/>
                <w:sz w:val="22"/>
                <w:szCs w:val="22"/>
              </w:rPr>
              <w:t>restritos</w:t>
            </w:r>
            <w:r w:rsidRPr="00295146">
              <w:rPr>
                <w:rFonts w:asciiTheme="minorHAnsi" w:hAnsiTheme="minorHAnsi" w:cstheme="minorHAnsi"/>
                <w:sz w:val="22"/>
                <w:szCs w:val="22"/>
              </w:rPr>
              <w:t>. O uso apropriado de amostragem está intimamente relacionado com a confiança que pode ser colocada nas conclusões de auditoria. A exigência de certificação sem amostragem ampliaria substancialmente o custo de transação do programa, tanto financeiro como de tempo, sem ganhos significativos no processo de verificação.</w:t>
            </w:r>
          </w:p>
          <w:p w:rsidR="007F30A1" w:rsidRPr="00295146" w:rsidRDefault="007F30A1" w:rsidP="00E6659B">
            <w:pPr>
              <w:spacing w:line="320" w:lineRule="atLeast"/>
              <w:jc w:val="both"/>
              <w:rPr>
                <w:rFonts w:asciiTheme="minorHAnsi" w:hAnsiTheme="minorHAnsi" w:cstheme="minorHAnsi"/>
                <w:sz w:val="22"/>
                <w:szCs w:val="22"/>
              </w:rPr>
            </w:pPr>
          </w:p>
        </w:tc>
      </w:tr>
      <w:tr w:rsidR="007F30A1"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Artigo 22, Inciso VI</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0D7BC1" w:rsidRPr="00295146" w:rsidRDefault="000D7BC1" w:rsidP="000D7BC1">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Sugere-se a seguinte adequação:</w:t>
            </w:r>
          </w:p>
          <w:p w:rsidR="007F30A1" w:rsidRPr="00295146" w:rsidRDefault="007F30A1" w:rsidP="00E6659B">
            <w:pPr>
              <w:spacing w:line="320" w:lineRule="atLeast"/>
              <w:jc w:val="both"/>
              <w:rPr>
                <w:rFonts w:asciiTheme="minorHAnsi" w:eastAsia="Arial Unicode MS" w:hAnsiTheme="minorHAnsi" w:cstheme="minorHAnsi"/>
                <w:sz w:val="22"/>
                <w:szCs w:val="22"/>
              </w:rPr>
            </w:pPr>
          </w:p>
          <w:p w:rsidR="00F76292" w:rsidRPr="00295146" w:rsidRDefault="00F76292" w:rsidP="00E6659B">
            <w:pPr>
              <w:spacing w:line="320" w:lineRule="atLeast"/>
              <w:jc w:val="both"/>
              <w:rPr>
                <w:rFonts w:asciiTheme="minorHAnsi" w:eastAsia="Arial Unicode MS" w:hAnsiTheme="minorHAnsi" w:cstheme="minorHAnsi"/>
                <w:sz w:val="22"/>
                <w:szCs w:val="22"/>
              </w:rPr>
            </w:pPr>
          </w:p>
          <w:p w:rsidR="00F76292" w:rsidRPr="00295146" w:rsidRDefault="00F76292" w:rsidP="00E6659B">
            <w:pPr>
              <w:pStyle w:val="Textodecomentrio"/>
              <w:spacing w:after="120"/>
              <w:jc w:val="both"/>
              <w:rPr>
                <w:rFonts w:asciiTheme="minorHAnsi" w:hAnsiTheme="minorHAnsi" w:cstheme="minorHAnsi"/>
                <w:sz w:val="22"/>
                <w:szCs w:val="22"/>
              </w:rPr>
            </w:pPr>
            <w:r w:rsidRPr="00295146">
              <w:rPr>
                <w:rFonts w:asciiTheme="minorHAnsi" w:hAnsiTheme="minorHAnsi" w:cstheme="minorHAnsi"/>
                <w:sz w:val="22"/>
                <w:szCs w:val="22"/>
              </w:rPr>
              <w:t xml:space="preserve">VI - </w:t>
            </w:r>
            <w:proofErr w:type="gramStart"/>
            <w:r w:rsidRPr="00295146">
              <w:rPr>
                <w:rFonts w:asciiTheme="minorHAnsi" w:hAnsiTheme="minorHAnsi" w:cstheme="minorHAnsi"/>
                <w:sz w:val="22"/>
                <w:szCs w:val="22"/>
              </w:rPr>
              <w:t>realizar</w:t>
            </w:r>
            <w:proofErr w:type="gramEnd"/>
            <w:r w:rsidRPr="00295146">
              <w:rPr>
                <w:rFonts w:asciiTheme="minorHAnsi" w:hAnsiTheme="minorHAnsi" w:cstheme="minorHAnsi"/>
                <w:sz w:val="22"/>
                <w:szCs w:val="22"/>
              </w:rPr>
              <w:t xml:space="preserve"> consulta pública, pelo prazo </w:t>
            </w:r>
            <w:r w:rsidRPr="00295146">
              <w:rPr>
                <w:rFonts w:asciiTheme="minorHAnsi" w:hAnsiTheme="minorHAnsi" w:cstheme="minorHAnsi"/>
                <w:b/>
                <w:strike/>
                <w:sz w:val="22"/>
                <w:szCs w:val="22"/>
              </w:rPr>
              <w:t>mínimo</w:t>
            </w:r>
            <w:r w:rsidRPr="00295146">
              <w:rPr>
                <w:rFonts w:asciiTheme="minorHAnsi" w:hAnsiTheme="minorHAnsi" w:cstheme="minorHAnsi"/>
                <w:sz w:val="22"/>
                <w:szCs w:val="22"/>
              </w:rPr>
              <w:t xml:space="preserve"> de trinta dias, acerca da proposta de certificação, com indicação expressa da proposição da Nota de Eficiência Energético-Ambiental a ser atribuída.</w:t>
            </w:r>
          </w:p>
          <w:p w:rsidR="007F30A1" w:rsidRPr="00295146" w:rsidRDefault="007F30A1" w:rsidP="00E6659B">
            <w:pPr>
              <w:spacing w:line="320" w:lineRule="atLeast"/>
              <w:jc w:val="both"/>
              <w:rPr>
                <w:rFonts w:asciiTheme="minorHAnsi" w:eastAsia="Arial Unicode MS" w:hAnsiTheme="minorHAnsi" w:cstheme="minorHAnsi"/>
                <w:sz w:val="22"/>
                <w:szCs w:val="22"/>
              </w:rPr>
            </w:pPr>
          </w:p>
          <w:p w:rsidR="007F30A1" w:rsidRPr="00295146" w:rsidRDefault="007F30A1" w:rsidP="00E6659B">
            <w:pPr>
              <w:pStyle w:val="Textodecomentrio"/>
              <w:spacing w:after="120" w:line="320" w:lineRule="atLeast"/>
              <w:jc w:val="both"/>
              <w:rPr>
                <w:rFonts w:asciiTheme="minorHAnsi" w:hAnsiTheme="minorHAnsi" w:cstheme="minorHAnsi"/>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0D7BC1" w:rsidP="00E6659B">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Exclusão da expressão “mínimo” para garantir previsibilidade à data da realização da consulta pública.</w:t>
            </w:r>
          </w:p>
        </w:tc>
      </w:tr>
      <w:tr w:rsidR="00C6536B"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C6536B" w:rsidRPr="00295146" w:rsidRDefault="00C6536B"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 22</w:t>
            </w:r>
            <w:r w:rsidR="007949A1" w:rsidRPr="00295146">
              <w:rPr>
                <w:rFonts w:asciiTheme="minorHAnsi" w:eastAsia="Arial Unicode MS" w:hAnsiTheme="minorHAnsi" w:cstheme="minorHAnsi"/>
                <w:b/>
                <w:sz w:val="22"/>
                <w:szCs w:val="22"/>
              </w:rPr>
              <w:t>, incisos V e VI</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6536B" w:rsidRPr="00295146" w:rsidRDefault="00C6536B" w:rsidP="000D7BC1">
            <w:pPr>
              <w:spacing w:line="320" w:lineRule="atLeast"/>
              <w:jc w:val="both"/>
              <w:rPr>
                <w:rFonts w:asciiTheme="minorHAnsi" w:hAnsiTheme="minorHAnsi" w:cstheme="minorHAnsi"/>
                <w:sz w:val="22"/>
                <w:szCs w:val="22"/>
              </w:rPr>
            </w:pPr>
            <w:r w:rsidRPr="00295146">
              <w:rPr>
                <w:rFonts w:asciiTheme="minorHAnsi" w:hAnsiTheme="minorHAnsi" w:cstheme="minorHAnsi"/>
                <w:sz w:val="22"/>
                <w:szCs w:val="22"/>
              </w:rPr>
              <w:t>Sugestão de inclusão d</w:t>
            </w:r>
            <w:r w:rsidR="007D7833" w:rsidRPr="00295146">
              <w:rPr>
                <w:rFonts w:asciiTheme="minorHAnsi" w:hAnsiTheme="minorHAnsi" w:cstheme="minorHAnsi"/>
                <w:sz w:val="22"/>
                <w:szCs w:val="22"/>
              </w:rPr>
              <w:t>os seguintes</w:t>
            </w:r>
            <w:r w:rsidR="009158FE">
              <w:rPr>
                <w:rFonts w:asciiTheme="minorHAnsi" w:hAnsiTheme="minorHAnsi" w:cstheme="minorHAnsi"/>
                <w:sz w:val="22"/>
                <w:szCs w:val="22"/>
              </w:rPr>
              <w:t xml:space="preserve"> </w:t>
            </w:r>
            <w:r w:rsidRPr="00295146">
              <w:rPr>
                <w:rFonts w:asciiTheme="minorHAnsi" w:hAnsiTheme="minorHAnsi" w:cstheme="minorHAnsi"/>
                <w:sz w:val="22"/>
                <w:szCs w:val="22"/>
              </w:rPr>
              <w:t>parágrafo</w:t>
            </w:r>
            <w:r w:rsidR="007D7833" w:rsidRPr="00295146">
              <w:rPr>
                <w:rFonts w:asciiTheme="minorHAnsi" w:hAnsiTheme="minorHAnsi" w:cstheme="minorHAnsi"/>
                <w:sz w:val="22"/>
                <w:szCs w:val="22"/>
              </w:rPr>
              <w:t>s</w:t>
            </w:r>
            <w:r w:rsidRPr="00295146">
              <w:rPr>
                <w:rFonts w:asciiTheme="minorHAnsi" w:hAnsiTheme="minorHAnsi" w:cstheme="minorHAnsi"/>
                <w:sz w:val="22"/>
                <w:szCs w:val="22"/>
              </w:rPr>
              <w:t>:</w:t>
            </w:r>
          </w:p>
          <w:p w:rsidR="00C6536B" w:rsidRPr="00295146" w:rsidRDefault="00C6536B" w:rsidP="000D7BC1">
            <w:pPr>
              <w:spacing w:line="320" w:lineRule="atLeast"/>
              <w:jc w:val="both"/>
              <w:rPr>
                <w:rFonts w:asciiTheme="minorHAnsi" w:hAnsiTheme="minorHAnsi" w:cstheme="minorHAnsi"/>
                <w:sz w:val="22"/>
                <w:szCs w:val="22"/>
              </w:rPr>
            </w:pPr>
          </w:p>
          <w:p w:rsidR="00C6536B" w:rsidRPr="00295146" w:rsidRDefault="00C6536B" w:rsidP="00C6536B">
            <w:pPr>
              <w:spacing w:line="320" w:lineRule="atLeast"/>
              <w:jc w:val="both"/>
              <w:rPr>
                <w:rFonts w:asciiTheme="minorHAnsi" w:hAnsiTheme="minorHAnsi" w:cstheme="minorHAnsi"/>
                <w:sz w:val="22"/>
                <w:szCs w:val="22"/>
              </w:rPr>
            </w:pPr>
            <w:r w:rsidRPr="00295146">
              <w:rPr>
                <w:rFonts w:asciiTheme="minorHAnsi" w:hAnsiTheme="minorHAnsi" w:cstheme="minorHAnsi"/>
                <w:sz w:val="22"/>
                <w:szCs w:val="22"/>
              </w:rPr>
              <w:t>Art. 22. (...)</w:t>
            </w:r>
          </w:p>
          <w:p w:rsidR="007D7833" w:rsidRPr="00295146" w:rsidRDefault="007D7833" w:rsidP="00C6536B">
            <w:pPr>
              <w:spacing w:line="320" w:lineRule="atLeast"/>
              <w:jc w:val="both"/>
              <w:rPr>
                <w:rFonts w:asciiTheme="minorHAnsi" w:hAnsiTheme="minorHAnsi" w:cstheme="minorHAnsi"/>
                <w:sz w:val="22"/>
                <w:szCs w:val="22"/>
              </w:rPr>
            </w:pPr>
          </w:p>
          <w:p w:rsidR="003C55A7" w:rsidRPr="00295146" w:rsidRDefault="00C6536B" w:rsidP="00C6536B">
            <w:pPr>
              <w:spacing w:line="320" w:lineRule="atLeast"/>
              <w:jc w:val="both"/>
              <w:rPr>
                <w:rFonts w:asciiTheme="minorHAnsi" w:hAnsiTheme="minorHAnsi" w:cstheme="minorHAnsi"/>
                <w:b/>
                <w:color w:val="FF0000"/>
                <w:sz w:val="22"/>
                <w:szCs w:val="22"/>
              </w:rPr>
            </w:pPr>
            <w:r w:rsidRPr="00295146">
              <w:rPr>
                <w:rFonts w:asciiTheme="minorHAnsi" w:hAnsiTheme="minorHAnsi" w:cstheme="minorHAnsi"/>
                <w:b/>
                <w:color w:val="FF0000"/>
                <w:sz w:val="22"/>
                <w:szCs w:val="22"/>
              </w:rPr>
              <w:t xml:space="preserve">§ 3º. </w:t>
            </w:r>
            <w:r w:rsidR="003C55A7" w:rsidRPr="00295146">
              <w:rPr>
                <w:rFonts w:asciiTheme="minorHAnsi" w:hAnsiTheme="minorHAnsi" w:cstheme="minorHAnsi"/>
                <w:b/>
                <w:color w:val="FF0000"/>
                <w:sz w:val="22"/>
                <w:szCs w:val="22"/>
              </w:rPr>
              <w:t>O emissor primário poderá formular, à firma inspetora, solicitação de acesso restrito de informações, objetos ou documentos, hipótese em que a divulgação de informações para as finalidades dos incisos V e VI deverá observar o disposto no § 4º.</w:t>
            </w:r>
          </w:p>
          <w:p w:rsidR="003C55A7" w:rsidRPr="00295146" w:rsidRDefault="003C55A7" w:rsidP="00C6536B">
            <w:pPr>
              <w:spacing w:line="320" w:lineRule="atLeast"/>
              <w:jc w:val="both"/>
              <w:rPr>
                <w:rFonts w:asciiTheme="minorHAnsi" w:hAnsiTheme="minorHAnsi" w:cstheme="minorHAnsi"/>
                <w:b/>
                <w:color w:val="FF0000"/>
                <w:sz w:val="22"/>
                <w:szCs w:val="22"/>
              </w:rPr>
            </w:pPr>
          </w:p>
          <w:p w:rsidR="003C55A7" w:rsidRPr="00295146" w:rsidRDefault="003C55A7" w:rsidP="00C6536B">
            <w:pPr>
              <w:spacing w:line="320" w:lineRule="atLeast"/>
              <w:jc w:val="both"/>
              <w:rPr>
                <w:rFonts w:asciiTheme="minorHAnsi" w:hAnsiTheme="minorHAnsi" w:cstheme="minorHAnsi"/>
                <w:b/>
                <w:color w:val="FF0000"/>
                <w:sz w:val="22"/>
                <w:szCs w:val="22"/>
              </w:rPr>
            </w:pPr>
            <w:r w:rsidRPr="00295146">
              <w:rPr>
                <w:rFonts w:asciiTheme="minorHAnsi" w:hAnsiTheme="minorHAnsi" w:cstheme="minorHAnsi"/>
                <w:b/>
                <w:color w:val="FF0000"/>
                <w:sz w:val="22"/>
                <w:szCs w:val="22"/>
              </w:rPr>
              <w:t>§ 4º. Caso seja solicitado o acesso restrito a informações, o interessado deverá apresentar:</w:t>
            </w:r>
          </w:p>
          <w:p w:rsidR="003C55A7" w:rsidRPr="00295146" w:rsidRDefault="003C55A7" w:rsidP="00141BC6">
            <w:pPr>
              <w:pStyle w:val="PargrafodaLista"/>
              <w:numPr>
                <w:ilvl w:val="0"/>
                <w:numId w:val="3"/>
              </w:numPr>
              <w:spacing w:line="320" w:lineRule="atLeast"/>
              <w:ind w:left="972"/>
              <w:jc w:val="both"/>
              <w:rPr>
                <w:rFonts w:asciiTheme="minorHAnsi" w:hAnsiTheme="minorHAnsi" w:cstheme="minorHAnsi"/>
                <w:b/>
                <w:color w:val="FF0000"/>
                <w:sz w:val="22"/>
                <w:szCs w:val="22"/>
              </w:rPr>
            </w:pPr>
            <w:r w:rsidRPr="00295146">
              <w:rPr>
                <w:rFonts w:asciiTheme="minorHAnsi" w:hAnsiTheme="minorHAnsi" w:cstheme="minorHAnsi"/>
                <w:b/>
                <w:color w:val="FF0000"/>
                <w:sz w:val="22"/>
                <w:szCs w:val="22"/>
              </w:rPr>
              <w:t xml:space="preserve">uma versão integral, identificada na primeira página com o termo “VERSÃO DE ACESSO RESTRITO”, que será autuada em apartado dos autos principais e mantida como de acesso restrito à firma inspetora, ANP e demais órgãos de controle; e </w:t>
            </w:r>
          </w:p>
          <w:p w:rsidR="003C55A7" w:rsidRPr="00295146" w:rsidRDefault="003C55A7" w:rsidP="00141BC6">
            <w:pPr>
              <w:pStyle w:val="PargrafodaLista"/>
              <w:numPr>
                <w:ilvl w:val="0"/>
                <w:numId w:val="3"/>
              </w:numPr>
              <w:spacing w:line="320" w:lineRule="atLeast"/>
              <w:ind w:left="972"/>
              <w:jc w:val="both"/>
              <w:rPr>
                <w:rFonts w:asciiTheme="minorHAnsi" w:hAnsiTheme="minorHAnsi" w:cstheme="minorHAnsi"/>
                <w:b/>
                <w:color w:val="FF0000"/>
                <w:sz w:val="22"/>
                <w:szCs w:val="22"/>
              </w:rPr>
            </w:pPr>
            <w:r w:rsidRPr="00295146">
              <w:rPr>
                <w:rFonts w:asciiTheme="minorHAnsi" w:hAnsiTheme="minorHAnsi" w:cstheme="minorHAnsi"/>
                <w:b/>
                <w:color w:val="FF0000"/>
                <w:sz w:val="22"/>
                <w:szCs w:val="22"/>
              </w:rPr>
              <w:t>uma versão identificada na primeira página com o termo “VERSÃO PÚBLICA”, que deverá conter elementos suficientes para o conhecimento da questão envolvida no pleito e poderá ser divulgada a terceiros, devendo ser editada pela emissora primária com marcas, rasuras ou supressões, de modo a omitirem-se estritamente os números, as palavras, ou quaisquer outros elementos reputados de acesso restrito.</w:t>
            </w:r>
          </w:p>
          <w:p w:rsidR="003C55A7" w:rsidRPr="00295146" w:rsidRDefault="003C55A7" w:rsidP="000D7BC1">
            <w:pPr>
              <w:spacing w:line="320" w:lineRule="atLeast"/>
              <w:jc w:val="both"/>
              <w:rPr>
                <w:rFonts w:asciiTheme="minorHAnsi" w:eastAsia="Arial Unicode MS" w:hAnsiTheme="minorHAnsi" w:cstheme="minorHAnsi"/>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C6536B" w:rsidRPr="00295146" w:rsidRDefault="00C6536B" w:rsidP="00C6536B">
            <w:pPr>
              <w:jc w:val="both"/>
              <w:rPr>
                <w:rFonts w:asciiTheme="minorHAnsi" w:hAnsiTheme="minorHAnsi" w:cstheme="minorHAnsi"/>
                <w:sz w:val="22"/>
                <w:szCs w:val="22"/>
              </w:rPr>
            </w:pPr>
            <w:r w:rsidRPr="00295146">
              <w:rPr>
                <w:rFonts w:asciiTheme="minorHAnsi" w:hAnsiTheme="minorHAnsi" w:cstheme="minorHAnsi"/>
                <w:sz w:val="22"/>
                <w:szCs w:val="22"/>
              </w:rPr>
              <w:t>Para a obtenção da Certificação de Biocombustíveis e emissão do Certificado da Produção Eficiente de Biocombustíveis, a firma inspetora deverá ter acesso a uma série de informações sensíveis sobre o processo industrial do emissor primário.</w:t>
            </w:r>
          </w:p>
          <w:p w:rsidR="00C6536B" w:rsidRPr="00295146" w:rsidRDefault="00C6536B" w:rsidP="00C6536B">
            <w:pPr>
              <w:jc w:val="both"/>
              <w:rPr>
                <w:rFonts w:asciiTheme="minorHAnsi" w:hAnsiTheme="minorHAnsi" w:cstheme="minorHAnsi"/>
                <w:sz w:val="22"/>
                <w:szCs w:val="22"/>
              </w:rPr>
            </w:pPr>
          </w:p>
          <w:p w:rsidR="00C6536B" w:rsidRPr="00295146" w:rsidRDefault="00C6536B" w:rsidP="00C6536B">
            <w:pPr>
              <w:jc w:val="both"/>
              <w:rPr>
                <w:rFonts w:asciiTheme="minorHAnsi" w:hAnsiTheme="minorHAnsi" w:cstheme="minorHAnsi"/>
                <w:sz w:val="22"/>
                <w:szCs w:val="22"/>
              </w:rPr>
            </w:pPr>
            <w:r w:rsidRPr="00295146">
              <w:rPr>
                <w:rFonts w:asciiTheme="minorHAnsi" w:hAnsiTheme="minorHAnsi" w:cstheme="minorHAnsi"/>
                <w:sz w:val="22"/>
                <w:szCs w:val="22"/>
              </w:rPr>
              <w:t>Com efeito, coloca-se que a firma inspetora deverá ter acesso a “todas as informações necessárias à condução e à conclusão do processo de certificação contratado”</w:t>
            </w:r>
            <w:r w:rsidR="007949A1" w:rsidRPr="00295146">
              <w:rPr>
                <w:rFonts w:asciiTheme="minorHAnsi" w:hAnsiTheme="minorHAnsi" w:cstheme="minorHAnsi"/>
                <w:sz w:val="22"/>
                <w:szCs w:val="22"/>
              </w:rPr>
              <w:t xml:space="preserve"> (art. 20, II)</w:t>
            </w:r>
            <w:r w:rsidRPr="00295146">
              <w:rPr>
                <w:rFonts w:asciiTheme="minorHAnsi" w:hAnsiTheme="minorHAnsi" w:cstheme="minorHAnsi"/>
                <w:sz w:val="22"/>
                <w:szCs w:val="22"/>
              </w:rPr>
              <w:t>. Diante disso, na medida em que o cálculo da Nota de Eficiência Energético-Ambiental leva em consideração aspectos sensíveis da atividade empresarial do emissor primário, inúmeros documentos e informações pertinentes a ela poderão ser disponibilizados à firma inspetora</w:t>
            </w:r>
            <w:r w:rsidR="007949A1" w:rsidRPr="00295146">
              <w:rPr>
                <w:rFonts w:asciiTheme="minorHAnsi" w:hAnsiTheme="minorHAnsi" w:cstheme="minorHAnsi"/>
                <w:sz w:val="22"/>
                <w:szCs w:val="22"/>
              </w:rPr>
              <w:t xml:space="preserve"> (art. 22, I)</w:t>
            </w:r>
            <w:r w:rsidRPr="00295146">
              <w:rPr>
                <w:rFonts w:asciiTheme="minorHAnsi" w:hAnsiTheme="minorHAnsi" w:cstheme="minorHAnsi"/>
                <w:sz w:val="22"/>
                <w:szCs w:val="22"/>
              </w:rPr>
              <w:t>.</w:t>
            </w:r>
          </w:p>
          <w:p w:rsidR="003C55A7" w:rsidRPr="00295146" w:rsidRDefault="003C55A7" w:rsidP="00C6536B">
            <w:pPr>
              <w:jc w:val="both"/>
              <w:rPr>
                <w:rFonts w:asciiTheme="minorHAnsi" w:hAnsiTheme="minorHAnsi" w:cstheme="minorHAnsi"/>
                <w:sz w:val="22"/>
                <w:szCs w:val="22"/>
              </w:rPr>
            </w:pPr>
          </w:p>
          <w:p w:rsidR="007949A1" w:rsidRPr="00295146" w:rsidRDefault="007949A1" w:rsidP="00C6536B">
            <w:pPr>
              <w:jc w:val="both"/>
              <w:rPr>
                <w:rFonts w:asciiTheme="minorHAnsi" w:hAnsiTheme="minorHAnsi" w:cstheme="minorHAnsi"/>
                <w:sz w:val="22"/>
                <w:szCs w:val="22"/>
              </w:rPr>
            </w:pPr>
            <w:r w:rsidRPr="00295146">
              <w:rPr>
                <w:rFonts w:asciiTheme="minorHAnsi" w:hAnsiTheme="minorHAnsi" w:cstheme="minorHAnsi"/>
                <w:sz w:val="22"/>
                <w:szCs w:val="22"/>
              </w:rPr>
              <w:t xml:space="preserve">No âmbito deste procedimento, caberá à firma inspetora “dar ampla divulgação do processo de certificação no seu endereço eletrônico” e “realizar consulta pública </w:t>
            </w:r>
            <w:proofErr w:type="gramStart"/>
            <w:r w:rsidRPr="00295146">
              <w:rPr>
                <w:rFonts w:asciiTheme="minorHAnsi" w:hAnsiTheme="minorHAnsi" w:cstheme="minorHAnsi"/>
                <w:sz w:val="22"/>
                <w:szCs w:val="22"/>
              </w:rPr>
              <w:t>(...)  acerca</w:t>
            </w:r>
            <w:proofErr w:type="gramEnd"/>
            <w:r w:rsidRPr="00295146">
              <w:rPr>
                <w:rFonts w:asciiTheme="minorHAnsi" w:hAnsiTheme="minorHAnsi" w:cstheme="minorHAnsi"/>
                <w:sz w:val="22"/>
                <w:szCs w:val="22"/>
              </w:rPr>
              <w:t xml:space="preserve"> da proposta de certificação” (art. 22, incisos V e VI).</w:t>
            </w:r>
          </w:p>
          <w:p w:rsidR="007949A1" w:rsidRPr="00295146" w:rsidRDefault="007949A1" w:rsidP="00C6536B">
            <w:pPr>
              <w:jc w:val="both"/>
              <w:rPr>
                <w:rFonts w:asciiTheme="minorHAnsi" w:hAnsiTheme="minorHAnsi" w:cstheme="minorHAnsi"/>
                <w:sz w:val="22"/>
                <w:szCs w:val="22"/>
              </w:rPr>
            </w:pPr>
          </w:p>
          <w:p w:rsidR="00C6536B" w:rsidRPr="00295146" w:rsidRDefault="007949A1" w:rsidP="00C6536B">
            <w:pPr>
              <w:jc w:val="both"/>
              <w:rPr>
                <w:rFonts w:asciiTheme="minorHAnsi" w:hAnsiTheme="minorHAnsi" w:cstheme="minorHAnsi"/>
                <w:sz w:val="22"/>
                <w:szCs w:val="22"/>
              </w:rPr>
            </w:pPr>
            <w:r w:rsidRPr="00295146">
              <w:rPr>
                <w:rFonts w:asciiTheme="minorHAnsi" w:hAnsiTheme="minorHAnsi" w:cstheme="minorHAnsi"/>
                <w:sz w:val="22"/>
                <w:szCs w:val="22"/>
              </w:rPr>
              <w:t>Diante disso, considerando a sensibilidade das informações envolvidas, é necessário que seja assegurado às emissoras primárias a possibilidade de pleitearem que o acesso a determinadas informações fornecidas à firma inspetora sejam de acesso restrito a ela e à ANP, não podendo ser divulgadas a público.</w:t>
            </w:r>
          </w:p>
          <w:p w:rsidR="007949A1" w:rsidRPr="00295146" w:rsidRDefault="007949A1" w:rsidP="00C6536B">
            <w:pPr>
              <w:jc w:val="both"/>
              <w:rPr>
                <w:rFonts w:asciiTheme="minorHAnsi" w:hAnsiTheme="minorHAnsi" w:cstheme="minorHAnsi"/>
                <w:sz w:val="22"/>
                <w:szCs w:val="22"/>
              </w:rPr>
            </w:pPr>
          </w:p>
          <w:p w:rsidR="007949A1" w:rsidRPr="00295146" w:rsidRDefault="007949A1" w:rsidP="00C6536B">
            <w:pPr>
              <w:jc w:val="both"/>
              <w:rPr>
                <w:rFonts w:asciiTheme="minorHAnsi" w:hAnsiTheme="minorHAnsi" w:cstheme="minorHAnsi"/>
                <w:sz w:val="22"/>
                <w:szCs w:val="22"/>
              </w:rPr>
            </w:pPr>
            <w:r w:rsidRPr="00295146">
              <w:rPr>
                <w:rFonts w:asciiTheme="minorHAnsi" w:hAnsiTheme="minorHAnsi" w:cstheme="minorHAnsi"/>
                <w:sz w:val="22"/>
                <w:szCs w:val="22"/>
              </w:rPr>
              <w:t xml:space="preserve">É de se notar que, embora o procedimento em questão envolva assunto de interesse público, a própria Lei Federal nº 12.527/2011, embora preveja, como regra, o livre acesso ás informações públicas, reconhece a necessidade de preservação do segredo industrial por parte de autoridades públicas e, também, de pessoas que executem atividades de tratamento de informações sigilosas, como é o caso da firma inspetora (vide </w:t>
            </w:r>
            <w:proofErr w:type="spellStart"/>
            <w:r w:rsidRPr="00295146">
              <w:rPr>
                <w:rFonts w:asciiTheme="minorHAnsi" w:hAnsiTheme="minorHAnsi" w:cstheme="minorHAnsi"/>
                <w:sz w:val="22"/>
                <w:szCs w:val="22"/>
              </w:rPr>
              <w:t>arts</w:t>
            </w:r>
            <w:proofErr w:type="spellEnd"/>
            <w:r w:rsidRPr="00295146">
              <w:rPr>
                <w:rFonts w:asciiTheme="minorHAnsi" w:hAnsiTheme="minorHAnsi" w:cstheme="minorHAnsi"/>
                <w:sz w:val="22"/>
                <w:szCs w:val="22"/>
              </w:rPr>
              <w:t xml:space="preserve">. 6º, III, c/c art. 22 c/c art. 26, parágrafo único, da Lei Federal nº 12.527/2011). </w:t>
            </w:r>
          </w:p>
          <w:p w:rsidR="00C6536B" w:rsidRPr="00295146" w:rsidRDefault="00C6536B" w:rsidP="00C6536B">
            <w:pPr>
              <w:jc w:val="both"/>
              <w:rPr>
                <w:rFonts w:asciiTheme="minorHAnsi" w:hAnsiTheme="minorHAnsi" w:cstheme="minorHAnsi"/>
                <w:sz w:val="22"/>
                <w:szCs w:val="22"/>
              </w:rPr>
            </w:pPr>
          </w:p>
          <w:p w:rsidR="002D04EC" w:rsidRPr="00295146" w:rsidRDefault="002D04EC" w:rsidP="00C6536B">
            <w:pPr>
              <w:jc w:val="both"/>
              <w:rPr>
                <w:rFonts w:asciiTheme="minorHAnsi" w:hAnsiTheme="minorHAnsi" w:cstheme="minorHAnsi"/>
                <w:sz w:val="22"/>
                <w:szCs w:val="22"/>
              </w:rPr>
            </w:pPr>
            <w:r w:rsidRPr="00295146">
              <w:rPr>
                <w:rFonts w:asciiTheme="minorHAnsi" w:hAnsiTheme="minorHAnsi" w:cstheme="minorHAnsi"/>
                <w:sz w:val="22"/>
                <w:szCs w:val="22"/>
              </w:rPr>
              <w:t>Além disso, a praxe de conceder acesso restrito a informações sensíveis é frequente em determinadas autarquias, como, por exemplo, nos procedimentos administrativos em trâmite perante o Conselho Administrativo de Defesa Econômica – CADE, que prevê, em seu Regimento Interno, a possibilidade de o interessado pleitear o acesso restrito e apresentar ao órgão de controle versão da documentação com informações sensíveis tarjadas (</w:t>
            </w:r>
            <w:proofErr w:type="spellStart"/>
            <w:r w:rsidRPr="00295146">
              <w:rPr>
                <w:rFonts w:asciiTheme="minorHAnsi" w:hAnsiTheme="minorHAnsi" w:cstheme="minorHAnsi"/>
                <w:sz w:val="22"/>
                <w:szCs w:val="22"/>
              </w:rPr>
              <w:t>arts</w:t>
            </w:r>
            <w:proofErr w:type="spellEnd"/>
            <w:r w:rsidRPr="00295146">
              <w:rPr>
                <w:rFonts w:asciiTheme="minorHAnsi" w:hAnsiTheme="minorHAnsi" w:cstheme="minorHAnsi"/>
                <w:sz w:val="22"/>
                <w:szCs w:val="22"/>
              </w:rPr>
              <w:t>. 91, 92 e 94).</w:t>
            </w:r>
          </w:p>
          <w:p w:rsidR="002D04EC" w:rsidRPr="00295146" w:rsidRDefault="002D04EC" w:rsidP="00C6536B">
            <w:pPr>
              <w:jc w:val="both"/>
              <w:rPr>
                <w:rFonts w:asciiTheme="minorHAnsi" w:hAnsiTheme="minorHAnsi" w:cstheme="minorHAnsi"/>
                <w:sz w:val="22"/>
                <w:szCs w:val="22"/>
              </w:rPr>
            </w:pPr>
          </w:p>
          <w:p w:rsidR="00C6536B" w:rsidRPr="00295146" w:rsidRDefault="007949A1" w:rsidP="00141BC6">
            <w:pPr>
              <w:jc w:val="both"/>
              <w:rPr>
                <w:rFonts w:asciiTheme="minorHAnsi" w:hAnsiTheme="minorHAnsi" w:cstheme="minorHAnsi"/>
                <w:sz w:val="22"/>
                <w:szCs w:val="22"/>
              </w:rPr>
            </w:pPr>
            <w:r w:rsidRPr="00295146">
              <w:rPr>
                <w:rFonts w:asciiTheme="minorHAnsi" w:hAnsiTheme="minorHAnsi" w:cstheme="minorHAnsi"/>
                <w:sz w:val="22"/>
                <w:szCs w:val="22"/>
              </w:rPr>
              <w:t>Dessa forma, é preciso que a minuta de resolução seja ajustada, de</w:t>
            </w:r>
            <w:r w:rsidR="00045F77">
              <w:rPr>
                <w:rFonts w:asciiTheme="minorHAnsi" w:hAnsiTheme="minorHAnsi" w:cstheme="minorHAnsi"/>
                <w:sz w:val="22"/>
                <w:szCs w:val="22"/>
              </w:rPr>
              <w:t xml:space="preserve"> maneira</w:t>
            </w:r>
            <w:r w:rsidRPr="00295146">
              <w:rPr>
                <w:rFonts w:asciiTheme="minorHAnsi" w:hAnsiTheme="minorHAnsi" w:cstheme="minorHAnsi"/>
                <w:sz w:val="22"/>
                <w:szCs w:val="22"/>
              </w:rPr>
              <w:t xml:space="preserve"> a incorporar restrição à divulgação de informações sensíveis das emissoras primárias por parte da firma inspetora e da ANP.</w:t>
            </w:r>
          </w:p>
        </w:tc>
      </w:tr>
      <w:tr w:rsidR="00601255"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601255" w:rsidRPr="00295146" w:rsidRDefault="003246C5"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 22, incisos V e VI</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601255" w:rsidRPr="00295146" w:rsidRDefault="00601255" w:rsidP="00601255">
            <w:pPr>
              <w:spacing w:line="320" w:lineRule="atLeast"/>
              <w:jc w:val="both"/>
              <w:rPr>
                <w:rFonts w:asciiTheme="minorHAnsi" w:hAnsiTheme="minorHAnsi" w:cstheme="minorHAnsi"/>
                <w:sz w:val="22"/>
                <w:szCs w:val="22"/>
              </w:rPr>
            </w:pPr>
            <w:r w:rsidRPr="00295146">
              <w:rPr>
                <w:rFonts w:asciiTheme="minorHAnsi" w:hAnsiTheme="minorHAnsi" w:cstheme="minorHAnsi"/>
                <w:sz w:val="22"/>
                <w:szCs w:val="22"/>
              </w:rPr>
              <w:t>Sugestão de inclusão de parágrafo:</w:t>
            </w:r>
          </w:p>
          <w:p w:rsidR="00601255" w:rsidRPr="00295146" w:rsidRDefault="00601255" w:rsidP="00601255">
            <w:pPr>
              <w:spacing w:line="320" w:lineRule="atLeast"/>
              <w:jc w:val="both"/>
              <w:rPr>
                <w:rFonts w:asciiTheme="minorHAnsi" w:hAnsiTheme="minorHAnsi" w:cstheme="minorHAnsi"/>
                <w:sz w:val="22"/>
                <w:szCs w:val="22"/>
              </w:rPr>
            </w:pPr>
          </w:p>
          <w:p w:rsidR="00601255" w:rsidRPr="00295146" w:rsidRDefault="00601255" w:rsidP="00601255">
            <w:pPr>
              <w:spacing w:line="320" w:lineRule="atLeast"/>
              <w:jc w:val="both"/>
              <w:rPr>
                <w:rFonts w:asciiTheme="minorHAnsi" w:hAnsiTheme="minorHAnsi" w:cstheme="minorHAnsi"/>
                <w:sz w:val="22"/>
                <w:szCs w:val="22"/>
              </w:rPr>
            </w:pPr>
            <w:r w:rsidRPr="00295146">
              <w:rPr>
                <w:rFonts w:asciiTheme="minorHAnsi" w:hAnsiTheme="minorHAnsi" w:cstheme="minorHAnsi"/>
                <w:sz w:val="22"/>
                <w:szCs w:val="22"/>
              </w:rPr>
              <w:t>Art. 22. (...)</w:t>
            </w:r>
          </w:p>
          <w:p w:rsidR="00601255" w:rsidRPr="00295146" w:rsidRDefault="00601255" w:rsidP="00601255">
            <w:pPr>
              <w:spacing w:line="320" w:lineRule="atLeast"/>
              <w:jc w:val="both"/>
              <w:rPr>
                <w:rFonts w:asciiTheme="minorHAnsi" w:hAnsiTheme="minorHAnsi" w:cstheme="minorHAnsi"/>
                <w:b/>
                <w:sz w:val="22"/>
                <w:szCs w:val="22"/>
              </w:rPr>
            </w:pPr>
            <w:r w:rsidRPr="00295146">
              <w:rPr>
                <w:rFonts w:asciiTheme="minorHAnsi" w:hAnsiTheme="minorHAnsi" w:cstheme="minorHAnsi"/>
                <w:b/>
                <w:color w:val="FF0000"/>
                <w:sz w:val="22"/>
                <w:szCs w:val="22"/>
              </w:rPr>
              <w:t xml:space="preserve">§ 4º. Na hipótese de descumprimento da obrigação de sigilo a que se refere o § 3º acima, a firma inspetora será responsável pela reparação de eventuais danos causados ao emissor primário, além se sujeitar às sanções previstas no item 5 do Anexo II. </w:t>
            </w: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601255" w:rsidRPr="00295146" w:rsidRDefault="00601255" w:rsidP="00601255">
            <w:pPr>
              <w:jc w:val="both"/>
              <w:rPr>
                <w:rFonts w:asciiTheme="minorHAnsi" w:hAnsiTheme="minorHAnsi" w:cstheme="minorHAnsi"/>
                <w:sz w:val="22"/>
                <w:szCs w:val="22"/>
              </w:rPr>
            </w:pPr>
            <w:r w:rsidRPr="00295146">
              <w:rPr>
                <w:rFonts w:asciiTheme="minorHAnsi" w:hAnsiTheme="minorHAnsi" w:cstheme="minorHAnsi"/>
                <w:sz w:val="22"/>
                <w:szCs w:val="22"/>
              </w:rPr>
              <w:t xml:space="preserve">Na linha da contribuição anterior, é importante fixar as consequências de eventual descumprimento do dever de sigilo que se impõe às firmas inspetoras. </w:t>
            </w:r>
          </w:p>
          <w:p w:rsidR="00601255" w:rsidRPr="00295146" w:rsidRDefault="00601255" w:rsidP="00601255">
            <w:pPr>
              <w:jc w:val="both"/>
              <w:rPr>
                <w:rFonts w:asciiTheme="minorHAnsi" w:hAnsiTheme="minorHAnsi" w:cstheme="minorHAnsi"/>
                <w:sz w:val="22"/>
                <w:szCs w:val="22"/>
              </w:rPr>
            </w:pPr>
          </w:p>
          <w:p w:rsidR="00601255" w:rsidRPr="00295146" w:rsidRDefault="00601255" w:rsidP="00601255">
            <w:pPr>
              <w:jc w:val="both"/>
              <w:rPr>
                <w:rFonts w:asciiTheme="minorHAnsi" w:hAnsiTheme="minorHAnsi" w:cstheme="minorHAnsi"/>
                <w:sz w:val="22"/>
                <w:szCs w:val="22"/>
              </w:rPr>
            </w:pPr>
            <w:r w:rsidRPr="00295146">
              <w:rPr>
                <w:rFonts w:asciiTheme="minorHAnsi" w:hAnsiTheme="minorHAnsi" w:cstheme="minorHAnsi"/>
                <w:sz w:val="22"/>
                <w:szCs w:val="22"/>
              </w:rPr>
              <w:t>As sanções previstas no item 5 do Anexo II para a hipótese de “exercício de atividades que comprometam a imparcialidade ou o sigilo de informações” são insuficientes para reprimir tal conduta, de severa gravidade.</w:t>
            </w:r>
          </w:p>
          <w:p w:rsidR="00601255" w:rsidRPr="00295146" w:rsidRDefault="00601255" w:rsidP="00601255">
            <w:pPr>
              <w:jc w:val="both"/>
              <w:rPr>
                <w:rFonts w:asciiTheme="minorHAnsi" w:hAnsiTheme="minorHAnsi" w:cstheme="minorHAnsi"/>
                <w:sz w:val="22"/>
                <w:szCs w:val="22"/>
              </w:rPr>
            </w:pPr>
          </w:p>
          <w:p w:rsidR="00601255" w:rsidRPr="00295146" w:rsidRDefault="00601255" w:rsidP="00601255">
            <w:pPr>
              <w:jc w:val="both"/>
              <w:rPr>
                <w:rFonts w:asciiTheme="minorHAnsi" w:hAnsiTheme="minorHAnsi" w:cstheme="minorHAnsi"/>
                <w:sz w:val="22"/>
                <w:szCs w:val="22"/>
              </w:rPr>
            </w:pPr>
            <w:r w:rsidRPr="00295146">
              <w:rPr>
                <w:rFonts w:asciiTheme="minorHAnsi" w:hAnsiTheme="minorHAnsi" w:cstheme="minorHAnsi"/>
                <w:sz w:val="22"/>
                <w:szCs w:val="22"/>
              </w:rPr>
              <w:t>Diante disso, sug</w:t>
            </w:r>
            <w:r w:rsidR="00D1766D" w:rsidRPr="00295146">
              <w:rPr>
                <w:rFonts w:asciiTheme="minorHAnsi" w:hAnsiTheme="minorHAnsi" w:cstheme="minorHAnsi"/>
                <w:sz w:val="22"/>
                <w:szCs w:val="22"/>
              </w:rPr>
              <w:t>ere-se que seja destacado, n</w:t>
            </w:r>
            <w:r w:rsidRPr="00295146">
              <w:rPr>
                <w:rFonts w:asciiTheme="minorHAnsi" w:hAnsiTheme="minorHAnsi" w:cstheme="minorHAnsi"/>
                <w:sz w:val="22"/>
                <w:szCs w:val="22"/>
              </w:rPr>
              <w:t>a resolução, a necessidade de reparação dos eventuais danos causados aos emissores primários por meio da divulgação indevida de informações.</w:t>
            </w:r>
          </w:p>
          <w:p w:rsidR="00601255" w:rsidRPr="00295146" w:rsidRDefault="00601255" w:rsidP="00601255">
            <w:pPr>
              <w:jc w:val="both"/>
              <w:rPr>
                <w:rFonts w:asciiTheme="minorHAnsi" w:hAnsiTheme="minorHAnsi" w:cstheme="minorHAnsi"/>
                <w:sz w:val="22"/>
                <w:szCs w:val="22"/>
              </w:rPr>
            </w:pPr>
          </w:p>
          <w:p w:rsidR="00601255" w:rsidRPr="00295146" w:rsidRDefault="00601255" w:rsidP="00601255">
            <w:pPr>
              <w:jc w:val="both"/>
              <w:rPr>
                <w:rFonts w:asciiTheme="minorHAnsi" w:hAnsiTheme="minorHAnsi" w:cstheme="minorHAnsi"/>
                <w:sz w:val="22"/>
                <w:szCs w:val="22"/>
              </w:rPr>
            </w:pPr>
            <w:r w:rsidRPr="00295146">
              <w:rPr>
                <w:rFonts w:asciiTheme="minorHAnsi" w:hAnsiTheme="minorHAnsi" w:cstheme="minorHAnsi"/>
                <w:sz w:val="22"/>
                <w:szCs w:val="22"/>
              </w:rPr>
              <w:t xml:space="preserve">Note-se que tal contribuição está em linha com o disposto no art. 34, </w:t>
            </w:r>
            <w:r w:rsidRPr="00295146">
              <w:rPr>
                <w:rFonts w:asciiTheme="minorHAnsi" w:hAnsiTheme="minorHAnsi" w:cstheme="minorHAnsi"/>
                <w:i/>
                <w:sz w:val="22"/>
                <w:szCs w:val="22"/>
              </w:rPr>
              <w:t>caput</w:t>
            </w:r>
            <w:r w:rsidRPr="00295146">
              <w:rPr>
                <w:rFonts w:asciiTheme="minorHAnsi" w:hAnsiTheme="minorHAnsi" w:cstheme="minorHAnsi"/>
                <w:sz w:val="22"/>
                <w:szCs w:val="22"/>
              </w:rPr>
              <w:t xml:space="preserve"> e parágrafo único, da Lei 12.527/2011, segundo o qual as pessoas que submetam informação sigilosa ou pessoal </w:t>
            </w:r>
            <w:r w:rsidR="003246C5" w:rsidRPr="00295146">
              <w:rPr>
                <w:rFonts w:asciiTheme="minorHAnsi" w:hAnsiTheme="minorHAnsi" w:cstheme="minorHAnsi"/>
                <w:sz w:val="22"/>
                <w:szCs w:val="22"/>
              </w:rPr>
              <w:t>a tratamento indevido “respondem diretamente pelos danos causados em decorrência da divulgação não autorizada ou utilização indevida”.</w:t>
            </w:r>
          </w:p>
        </w:tc>
      </w:tr>
      <w:tr w:rsidR="007F30A1"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Artigo 23, Inciso V</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0D7BC1" w:rsidRPr="00295146" w:rsidRDefault="000D7BC1" w:rsidP="000D7BC1">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Sugere-se a seguinte adequação:</w:t>
            </w:r>
          </w:p>
          <w:p w:rsidR="007F30A1" w:rsidRPr="00295146" w:rsidRDefault="007F30A1" w:rsidP="00B57C7F">
            <w:pPr>
              <w:shd w:val="clear" w:color="auto" w:fill="FFFFFF"/>
              <w:spacing w:after="120" w:line="320" w:lineRule="atLeast"/>
              <w:jc w:val="both"/>
              <w:rPr>
                <w:rFonts w:asciiTheme="minorHAnsi" w:hAnsiTheme="minorHAnsi" w:cstheme="minorHAnsi"/>
                <w:sz w:val="22"/>
                <w:szCs w:val="22"/>
              </w:rPr>
            </w:pPr>
          </w:p>
          <w:p w:rsidR="007F30A1" w:rsidRPr="00295146" w:rsidRDefault="007F30A1" w:rsidP="00E6659B">
            <w:pPr>
              <w:shd w:val="clear" w:color="auto" w:fill="FFFFFF"/>
              <w:spacing w:after="120" w:line="320" w:lineRule="atLeast"/>
              <w:jc w:val="both"/>
              <w:rPr>
                <w:rFonts w:asciiTheme="minorHAnsi" w:hAnsiTheme="minorHAnsi" w:cstheme="minorHAnsi"/>
                <w:b/>
                <w:color w:val="FF0000"/>
                <w:sz w:val="22"/>
                <w:szCs w:val="22"/>
              </w:rPr>
            </w:pPr>
            <w:r w:rsidRPr="00295146">
              <w:rPr>
                <w:rFonts w:asciiTheme="minorHAnsi" w:hAnsiTheme="minorHAnsi" w:cstheme="minorHAnsi"/>
                <w:sz w:val="22"/>
                <w:szCs w:val="22"/>
              </w:rPr>
              <w:t xml:space="preserve">V - </w:t>
            </w:r>
            <w:proofErr w:type="gramStart"/>
            <w:r w:rsidRPr="00295146">
              <w:rPr>
                <w:rFonts w:asciiTheme="minorHAnsi" w:hAnsiTheme="minorHAnsi" w:cstheme="minorHAnsi"/>
                <w:sz w:val="22"/>
                <w:szCs w:val="22"/>
              </w:rPr>
              <w:t>comprovação</w:t>
            </w:r>
            <w:proofErr w:type="gramEnd"/>
            <w:r w:rsidRPr="00295146">
              <w:rPr>
                <w:rFonts w:asciiTheme="minorHAnsi" w:hAnsiTheme="minorHAnsi" w:cstheme="minorHAnsi"/>
                <w:sz w:val="22"/>
                <w:szCs w:val="22"/>
              </w:rPr>
              <w:t xml:space="preserve"> de que houve consulta pública pelo prazo </w:t>
            </w:r>
            <w:r w:rsidRPr="00295146">
              <w:rPr>
                <w:rFonts w:asciiTheme="minorHAnsi" w:hAnsiTheme="minorHAnsi" w:cstheme="minorHAnsi"/>
                <w:b/>
                <w:strike/>
                <w:sz w:val="22"/>
                <w:szCs w:val="22"/>
              </w:rPr>
              <w:t>mínimo</w:t>
            </w:r>
            <w:r w:rsidRPr="00295146">
              <w:rPr>
                <w:rFonts w:asciiTheme="minorHAnsi" w:hAnsiTheme="minorHAnsi" w:cstheme="minorHAnsi"/>
                <w:sz w:val="22"/>
                <w:szCs w:val="22"/>
              </w:rPr>
              <w:t xml:space="preserve"> de trinta dias, com a disponibilização de todas as informações obtidas durante o período de auditoria/inspeção, exceto as protegidas por sigilo fiscal</w:t>
            </w:r>
            <w:r w:rsidR="000D7BC1" w:rsidRPr="00295146">
              <w:rPr>
                <w:rFonts w:asciiTheme="minorHAnsi" w:hAnsiTheme="minorHAnsi" w:cstheme="minorHAnsi"/>
                <w:sz w:val="22"/>
                <w:szCs w:val="22"/>
              </w:rPr>
              <w:t xml:space="preserve">, </w:t>
            </w:r>
            <w:r w:rsidR="000D7BC1" w:rsidRPr="00295146">
              <w:rPr>
                <w:rFonts w:asciiTheme="minorHAnsi" w:hAnsiTheme="minorHAnsi" w:cstheme="minorHAnsi"/>
                <w:b/>
                <w:color w:val="FF0000"/>
                <w:sz w:val="22"/>
                <w:szCs w:val="22"/>
                <w:u w:val="single"/>
              </w:rPr>
              <w:t>segredo industrial</w:t>
            </w:r>
            <w:r w:rsidRPr="00295146">
              <w:rPr>
                <w:rFonts w:asciiTheme="minorHAnsi" w:hAnsiTheme="minorHAnsi" w:cstheme="minorHAnsi"/>
                <w:sz w:val="22"/>
                <w:szCs w:val="22"/>
              </w:rPr>
              <w:t xml:space="preserve"> </w:t>
            </w:r>
            <w:r w:rsidRPr="00295146">
              <w:rPr>
                <w:rFonts w:asciiTheme="minorHAnsi" w:hAnsiTheme="minorHAnsi" w:cstheme="minorHAnsi"/>
                <w:b/>
                <w:color w:val="FF0000"/>
                <w:sz w:val="22"/>
                <w:szCs w:val="22"/>
                <w:u w:val="single"/>
              </w:rPr>
              <w:t>ou por termo de confidencialidade</w:t>
            </w:r>
            <w:r w:rsidRPr="00295146">
              <w:rPr>
                <w:rFonts w:asciiTheme="minorHAnsi" w:hAnsiTheme="minorHAnsi" w:cstheme="minorHAnsi"/>
                <w:b/>
                <w:color w:val="FF0000"/>
                <w:sz w:val="22"/>
                <w:szCs w:val="22"/>
              </w:rPr>
              <w:t xml:space="preserve">; </w:t>
            </w:r>
          </w:p>
          <w:p w:rsidR="007F30A1" w:rsidRPr="00295146" w:rsidRDefault="007F30A1" w:rsidP="00E6659B">
            <w:pPr>
              <w:shd w:val="clear" w:color="auto" w:fill="FFFFFF"/>
              <w:spacing w:after="120" w:line="320" w:lineRule="atLeast"/>
              <w:jc w:val="both"/>
              <w:rPr>
                <w:rFonts w:asciiTheme="minorHAnsi" w:hAnsiTheme="minorHAnsi" w:cstheme="minorHAnsi"/>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F76292" w:rsidP="00E6659B">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Exclusão da expressão “mínimo” para garantir</w:t>
            </w:r>
            <w:r w:rsidR="000D7BC1" w:rsidRPr="00295146">
              <w:rPr>
                <w:rFonts w:asciiTheme="minorHAnsi" w:eastAsia="Arial Unicode MS" w:hAnsiTheme="minorHAnsi" w:cstheme="minorHAnsi"/>
                <w:sz w:val="22"/>
                <w:szCs w:val="22"/>
              </w:rPr>
              <w:t xml:space="preserve"> previsibilidade à data da realização da consulta pública e i</w:t>
            </w:r>
            <w:r w:rsidR="007F30A1" w:rsidRPr="00295146">
              <w:rPr>
                <w:rFonts w:asciiTheme="minorHAnsi" w:eastAsia="Arial Unicode MS" w:hAnsiTheme="minorHAnsi" w:cstheme="minorHAnsi"/>
                <w:sz w:val="22"/>
                <w:szCs w:val="22"/>
              </w:rPr>
              <w:t xml:space="preserve">nclusão </w:t>
            </w:r>
            <w:r w:rsidR="000D7BC1" w:rsidRPr="00295146">
              <w:rPr>
                <w:rFonts w:asciiTheme="minorHAnsi" w:eastAsia="Arial Unicode MS" w:hAnsiTheme="minorHAnsi" w:cstheme="minorHAnsi"/>
                <w:sz w:val="22"/>
                <w:szCs w:val="22"/>
              </w:rPr>
              <w:t>da previsão dos termos de confidencialidade e segredos industriais, p</w:t>
            </w:r>
            <w:r w:rsidR="007F30A1" w:rsidRPr="00295146">
              <w:rPr>
                <w:rFonts w:asciiTheme="minorHAnsi" w:eastAsia="Arial Unicode MS" w:hAnsiTheme="minorHAnsi" w:cstheme="minorHAnsi"/>
                <w:sz w:val="22"/>
                <w:szCs w:val="22"/>
              </w:rPr>
              <w:t>a</w:t>
            </w:r>
            <w:r w:rsidR="000D7BC1" w:rsidRPr="00295146">
              <w:rPr>
                <w:rFonts w:asciiTheme="minorHAnsi" w:eastAsia="Arial Unicode MS" w:hAnsiTheme="minorHAnsi" w:cstheme="minorHAnsi"/>
                <w:sz w:val="22"/>
                <w:szCs w:val="22"/>
              </w:rPr>
              <w:t>ra</w:t>
            </w:r>
            <w:r w:rsidR="007F30A1" w:rsidRPr="00295146">
              <w:rPr>
                <w:rFonts w:asciiTheme="minorHAnsi" w:eastAsia="Arial Unicode MS" w:hAnsiTheme="minorHAnsi" w:cstheme="minorHAnsi"/>
                <w:sz w:val="22"/>
                <w:szCs w:val="22"/>
              </w:rPr>
              <w:t xml:space="preserve"> garantir </w:t>
            </w:r>
            <w:r w:rsidR="000D7BC1" w:rsidRPr="00295146">
              <w:rPr>
                <w:rFonts w:asciiTheme="minorHAnsi" w:eastAsia="Arial Unicode MS" w:hAnsiTheme="minorHAnsi" w:cstheme="minorHAnsi"/>
                <w:sz w:val="22"/>
                <w:szCs w:val="22"/>
              </w:rPr>
              <w:t xml:space="preserve">a </w:t>
            </w:r>
            <w:r w:rsidR="007F30A1" w:rsidRPr="00295146">
              <w:rPr>
                <w:rFonts w:asciiTheme="minorHAnsi" w:eastAsia="Arial Unicode MS" w:hAnsiTheme="minorHAnsi" w:cstheme="minorHAnsi"/>
                <w:sz w:val="22"/>
                <w:szCs w:val="22"/>
              </w:rPr>
              <w:t>proteção dos dados e informações estratégicas ou relacionadas a segredo industrial.</w:t>
            </w:r>
          </w:p>
          <w:p w:rsidR="00141BC6" w:rsidRPr="00295146" w:rsidRDefault="00141BC6" w:rsidP="00E6659B">
            <w:pPr>
              <w:spacing w:line="320" w:lineRule="atLeast"/>
              <w:jc w:val="both"/>
              <w:rPr>
                <w:rFonts w:asciiTheme="minorHAnsi" w:eastAsia="Arial Unicode MS" w:hAnsiTheme="minorHAnsi" w:cstheme="minorHAnsi"/>
                <w:sz w:val="22"/>
                <w:szCs w:val="22"/>
              </w:rPr>
            </w:pPr>
          </w:p>
        </w:tc>
      </w:tr>
      <w:tr w:rsidR="007F30A1"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Artigo 23, inserir novo parágrafo</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0D7BC1" w:rsidRPr="00295146" w:rsidRDefault="000D7BC1" w:rsidP="00E6659B">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Sugere-se a inclusão do seguinte parágrafo:</w:t>
            </w:r>
          </w:p>
          <w:p w:rsidR="007F30A1" w:rsidRPr="00295146" w:rsidRDefault="007F30A1" w:rsidP="00E6659B">
            <w:pPr>
              <w:spacing w:line="320" w:lineRule="atLeast"/>
              <w:jc w:val="both"/>
              <w:rPr>
                <w:rFonts w:asciiTheme="minorHAnsi" w:eastAsia="Arial Unicode MS" w:hAnsiTheme="minorHAnsi" w:cstheme="minorHAnsi"/>
                <w:color w:val="000000"/>
                <w:sz w:val="22"/>
                <w:szCs w:val="22"/>
              </w:rPr>
            </w:pPr>
          </w:p>
          <w:p w:rsidR="007F30A1" w:rsidRPr="00295146" w:rsidRDefault="007F30A1" w:rsidP="00E6659B">
            <w:pPr>
              <w:spacing w:line="320" w:lineRule="atLeast"/>
              <w:jc w:val="both"/>
              <w:rPr>
                <w:rFonts w:asciiTheme="minorHAnsi" w:eastAsia="Arial Unicode MS" w:hAnsiTheme="minorHAnsi" w:cstheme="minorHAnsi"/>
                <w:b/>
                <w:color w:val="FF0000"/>
                <w:sz w:val="22"/>
                <w:szCs w:val="22"/>
              </w:rPr>
            </w:pPr>
            <w:r w:rsidRPr="00295146">
              <w:rPr>
                <w:rFonts w:asciiTheme="minorHAnsi" w:hAnsiTheme="minorHAnsi" w:cstheme="minorHAnsi"/>
                <w:b/>
                <w:color w:val="FF0000"/>
                <w:sz w:val="22"/>
                <w:szCs w:val="22"/>
              </w:rPr>
              <w:t>§</w:t>
            </w:r>
            <w:r w:rsidR="000D7BC1" w:rsidRPr="00295146">
              <w:rPr>
                <w:rFonts w:asciiTheme="minorHAnsi" w:hAnsiTheme="minorHAnsi" w:cstheme="minorHAnsi"/>
                <w:b/>
                <w:color w:val="FF0000"/>
                <w:sz w:val="22"/>
                <w:szCs w:val="22"/>
              </w:rPr>
              <w:t>novo</w:t>
            </w:r>
            <w:r w:rsidRPr="00295146">
              <w:rPr>
                <w:rFonts w:asciiTheme="minorHAnsi" w:hAnsiTheme="minorHAnsi" w:cstheme="minorHAnsi"/>
                <w:b/>
                <w:color w:val="FF0000"/>
                <w:sz w:val="22"/>
                <w:szCs w:val="22"/>
              </w:rPr>
              <w:t xml:space="preserve"> - A análise do processo de que trata da aprovação do Certificado da Produção Eficiente de Biocombustíveis será realizada pela ANP em um prazo máximo de 30 dias.</w:t>
            </w:r>
          </w:p>
          <w:p w:rsidR="007F30A1" w:rsidRPr="00295146" w:rsidRDefault="007F30A1" w:rsidP="00E6659B">
            <w:pPr>
              <w:spacing w:line="320" w:lineRule="atLeast"/>
              <w:jc w:val="both"/>
              <w:rPr>
                <w:rFonts w:asciiTheme="minorHAnsi" w:eastAsia="Arial Unicode MS" w:hAnsiTheme="minorHAnsi" w:cstheme="minorHAnsi"/>
                <w:color w:val="000000"/>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0D7BC1" w:rsidP="00E6659B">
            <w:pPr>
              <w:spacing w:line="320" w:lineRule="atLeast"/>
              <w:jc w:val="both"/>
              <w:rPr>
                <w:rFonts w:asciiTheme="minorHAnsi" w:eastAsia="Arial Unicode MS" w:hAnsiTheme="minorHAnsi" w:cstheme="minorHAnsi"/>
                <w:sz w:val="22"/>
                <w:szCs w:val="22"/>
              </w:rPr>
            </w:pPr>
            <w:r w:rsidRPr="00295146">
              <w:rPr>
                <w:rFonts w:asciiTheme="minorHAnsi" w:hAnsiTheme="minorHAnsi" w:cstheme="minorHAnsi"/>
                <w:sz w:val="22"/>
                <w:szCs w:val="22"/>
              </w:rPr>
              <w:t>Inclusão necessária para e</w:t>
            </w:r>
            <w:r w:rsidR="007F30A1" w:rsidRPr="00295146">
              <w:rPr>
                <w:rFonts w:asciiTheme="minorHAnsi" w:hAnsiTheme="minorHAnsi" w:cstheme="minorHAnsi"/>
                <w:sz w:val="22"/>
                <w:szCs w:val="22"/>
              </w:rPr>
              <w:t xml:space="preserve">stabelecer </w:t>
            </w:r>
            <w:r w:rsidRPr="00295146">
              <w:rPr>
                <w:rFonts w:asciiTheme="minorHAnsi" w:hAnsiTheme="minorHAnsi" w:cstheme="minorHAnsi"/>
                <w:sz w:val="22"/>
                <w:szCs w:val="22"/>
              </w:rPr>
              <w:t xml:space="preserve">um </w:t>
            </w:r>
            <w:r w:rsidR="007F30A1" w:rsidRPr="00295146">
              <w:rPr>
                <w:rFonts w:asciiTheme="minorHAnsi" w:hAnsiTheme="minorHAnsi" w:cstheme="minorHAnsi"/>
                <w:sz w:val="22"/>
                <w:szCs w:val="22"/>
              </w:rPr>
              <w:t>prazo máximo para a realização do processo</w:t>
            </w:r>
            <w:r w:rsidRPr="00295146">
              <w:rPr>
                <w:rFonts w:asciiTheme="minorHAnsi" w:hAnsiTheme="minorHAnsi" w:cstheme="minorHAnsi"/>
                <w:sz w:val="22"/>
                <w:szCs w:val="22"/>
              </w:rPr>
              <w:t xml:space="preserve"> de aprovação do Certificado da Produção Eficiente de Biocombustíveis.</w:t>
            </w:r>
          </w:p>
        </w:tc>
      </w:tr>
      <w:tr w:rsidR="007F30A1"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Artigo 24, parágrafo 3</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 xml:space="preserve">Solicitamos que sejam especificados os itens mínimos a constar no escopo da auditoria intermediária </w:t>
            </w:r>
            <w:r w:rsidR="000D7BC1" w:rsidRPr="00295146">
              <w:rPr>
                <w:rFonts w:asciiTheme="minorHAnsi" w:eastAsia="Arial Unicode MS" w:hAnsiTheme="minorHAnsi" w:cstheme="minorHAnsi"/>
                <w:sz w:val="22"/>
                <w:szCs w:val="22"/>
              </w:rPr>
              <w:t>prevista no</w:t>
            </w:r>
            <w:r w:rsidRPr="00295146">
              <w:rPr>
                <w:rFonts w:asciiTheme="minorHAnsi" w:eastAsia="Arial Unicode MS" w:hAnsiTheme="minorHAnsi" w:cstheme="minorHAnsi"/>
                <w:sz w:val="22"/>
                <w:szCs w:val="22"/>
              </w:rPr>
              <w:t xml:space="preserve"> parágrafo 3</w:t>
            </w:r>
            <w:r w:rsidR="000D7BC1" w:rsidRPr="00295146">
              <w:rPr>
                <w:rFonts w:asciiTheme="minorHAnsi" w:eastAsia="Arial Unicode MS" w:hAnsiTheme="minorHAnsi" w:cstheme="minorHAnsi"/>
                <w:sz w:val="22"/>
                <w:szCs w:val="22"/>
              </w:rPr>
              <w:t>º,</w:t>
            </w:r>
            <w:r w:rsidRPr="00295146">
              <w:rPr>
                <w:rFonts w:asciiTheme="minorHAnsi" w:eastAsia="Arial Unicode MS" w:hAnsiTheme="minorHAnsi" w:cstheme="minorHAnsi"/>
                <w:sz w:val="22"/>
                <w:szCs w:val="22"/>
              </w:rPr>
              <w:t xml:space="preserve"> do artigo 24º.</w:t>
            </w: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Resolução deve especificar quais exigência serão incorporadas no processo de auditoria intermediária</w:t>
            </w:r>
            <w:r w:rsidR="000D7BC1" w:rsidRPr="00295146">
              <w:rPr>
                <w:rFonts w:asciiTheme="minorHAnsi" w:eastAsia="Arial Unicode MS" w:hAnsiTheme="minorHAnsi" w:cstheme="minorHAnsi"/>
                <w:sz w:val="22"/>
                <w:szCs w:val="22"/>
              </w:rPr>
              <w:t>.</w:t>
            </w:r>
          </w:p>
        </w:tc>
      </w:tr>
      <w:tr w:rsidR="007F30A1"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Artigo 25, Inciso II</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0D7BC1" w:rsidP="00E6659B">
            <w:pPr>
              <w:spacing w:line="320" w:lineRule="atLeast"/>
              <w:jc w:val="both"/>
              <w:rPr>
                <w:rFonts w:asciiTheme="minorHAnsi" w:eastAsia="Arial Unicode MS" w:hAnsiTheme="minorHAnsi" w:cstheme="minorHAnsi"/>
                <w:color w:val="000000"/>
                <w:sz w:val="22"/>
                <w:szCs w:val="22"/>
              </w:rPr>
            </w:pPr>
            <w:r w:rsidRPr="00295146">
              <w:rPr>
                <w:rFonts w:asciiTheme="minorHAnsi" w:eastAsia="Arial Unicode MS" w:hAnsiTheme="minorHAnsi" w:cstheme="minorHAnsi"/>
                <w:color w:val="000000"/>
                <w:sz w:val="22"/>
                <w:szCs w:val="22"/>
              </w:rPr>
              <w:t xml:space="preserve">Sugere-se a supressão do </w:t>
            </w:r>
            <w:r w:rsidR="007F30A1" w:rsidRPr="00295146">
              <w:rPr>
                <w:rFonts w:asciiTheme="minorHAnsi" w:eastAsia="Arial Unicode MS" w:hAnsiTheme="minorHAnsi" w:cstheme="minorHAnsi"/>
                <w:color w:val="000000"/>
                <w:sz w:val="22"/>
                <w:szCs w:val="22"/>
              </w:rPr>
              <w:t>inciso II</w:t>
            </w:r>
            <w:r w:rsidRPr="00295146">
              <w:rPr>
                <w:rFonts w:asciiTheme="minorHAnsi" w:eastAsia="Arial Unicode MS" w:hAnsiTheme="minorHAnsi" w:cstheme="minorHAnsi"/>
                <w:color w:val="000000"/>
                <w:sz w:val="22"/>
                <w:szCs w:val="22"/>
              </w:rPr>
              <w:t>,</w:t>
            </w:r>
            <w:r w:rsidR="007F30A1" w:rsidRPr="00295146">
              <w:rPr>
                <w:rFonts w:asciiTheme="minorHAnsi" w:eastAsia="Arial Unicode MS" w:hAnsiTheme="minorHAnsi" w:cstheme="minorHAnsi"/>
                <w:color w:val="000000"/>
                <w:sz w:val="22"/>
                <w:szCs w:val="22"/>
              </w:rPr>
              <w:t xml:space="preserve"> do artigo 25:</w:t>
            </w:r>
          </w:p>
          <w:p w:rsidR="007F30A1" w:rsidRPr="00295146" w:rsidRDefault="007F30A1" w:rsidP="00E6659B">
            <w:pPr>
              <w:spacing w:line="320" w:lineRule="atLeast"/>
              <w:jc w:val="both"/>
              <w:rPr>
                <w:rFonts w:asciiTheme="minorHAnsi" w:eastAsia="Arial Unicode MS" w:hAnsiTheme="minorHAnsi" w:cstheme="minorHAnsi"/>
                <w:color w:val="000000"/>
                <w:sz w:val="22"/>
                <w:szCs w:val="22"/>
              </w:rPr>
            </w:pPr>
          </w:p>
          <w:p w:rsidR="007F30A1" w:rsidRPr="00295146" w:rsidRDefault="007F30A1" w:rsidP="00E6659B">
            <w:pPr>
              <w:shd w:val="clear" w:color="auto" w:fill="FFFFFF"/>
              <w:spacing w:after="120" w:line="320" w:lineRule="atLeast"/>
              <w:jc w:val="both"/>
              <w:rPr>
                <w:rFonts w:asciiTheme="minorHAnsi" w:hAnsiTheme="minorHAnsi" w:cstheme="minorHAnsi"/>
                <w:b/>
                <w:strike/>
                <w:color w:val="000000"/>
                <w:sz w:val="22"/>
                <w:szCs w:val="22"/>
              </w:rPr>
            </w:pPr>
            <w:r w:rsidRPr="00295146">
              <w:rPr>
                <w:rFonts w:asciiTheme="minorHAnsi" w:hAnsiTheme="minorHAnsi" w:cstheme="minorHAnsi"/>
                <w:b/>
                <w:strike/>
                <w:color w:val="000000"/>
                <w:sz w:val="22"/>
                <w:szCs w:val="22"/>
              </w:rPr>
              <w:t xml:space="preserve">II - </w:t>
            </w:r>
            <w:proofErr w:type="gramStart"/>
            <w:r w:rsidRPr="00295146">
              <w:rPr>
                <w:rFonts w:asciiTheme="minorHAnsi" w:hAnsiTheme="minorHAnsi" w:cstheme="minorHAnsi"/>
                <w:b/>
                <w:strike/>
                <w:color w:val="000000"/>
                <w:sz w:val="22"/>
                <w:szCs w:val="22"/>
              </w:rPr>
              <w:t>quando</w:t>
            </w:r>
            <w:proofErr w:type="gramEnd"/>
            <w:r w:rsidRPr="00295146">
              <w:rPr>
                <w:rFonts w:asciiTheme="minorHAnsi" w:hAnsiTheme="minorHAnsi" w:cstheme="minorHAnsi"/>
                <w:b/>
                <w:strike/>
                <w:color w:val="000000"/>
                <w:sz w:val="22"/>
                <w:szCs w:val="22"/>
              </w:rPr>
              <w:t xml:space="preserve"> o emissor primário constatar variação de </w:t>
            </w:r>
            <w:r w:rsidRPr="00295146">
              <w:rPr>
                <w:rFonts w:asciiTheme="minorHAnsi" w:hAnsiTheme="minorHAnsi" w:cstheme="minorHAnsi"/>
                <w:b/>
                <w:strike/>
                <w:sz w:val="22"/>
                <w:szCs w:val="22"/>
              </w:rPr>
              <w:t xml:space="preserve">mais ou menos dez por cento (±10 %) </w:t>
            </w:r>
            <w:r w:rsidRPr="00295146">
              <w:rPr>
                <w:rFonts w:asciiTheme="minorHAnsi" w:hAnsiTheme="minorHAnsi" w:cstheme="minorHAnsi"/>
                <w:b/>
                <w:strike/>
                <w:color w:val="000000"/>
                <w:sz w:val="22"/>
                <w:szCs w:val="22"/>
              </w:rPr>
              <w:t>da Nota de Eficiência Energético-Ambiental;</w:t>
            </w:r>
          </w:p>
          <w:p w:rsidR="007F30A1" w:rsidRPr="00295146" w:rsidRDefault="007F30A1" w:rsidP="00E6659B">
            <w:pPr>
              <w:shd w:val="clear" w:color="auto" w:fill="FFFFFF"/>
              <w:spacing w:after="120" w:line="320" w:lineRule="atLeast"/>
              <w:jc w:val="both"/>
              <w:rPr>
                <w:rFonts w:asciiTheme="minorHAnsi" w:hAnsiTheme="minorHAnsi" w:cstheme="minorHAnsi"/>
                <w:color w:val="000000"/>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 xml:space="preserve">Os produtores </w:t>
            </w:r>
            <w:r w:rsidR="000D7BC1" w:rsidRPr="00295146">
              <w:rPr>
                <w:rFonts w:asciiTheme="minorHAnsi" w:eastAsia="Arial Unicode MS" w:hAnsiTheme="minorHAnsi" w:cstheme="minorHAnsi"/>
                <w:sz w:val="22"/>
                <w:szCs w:val="22"/>
              </w:rPr>
              <w:t>realizarão</w:t>
            </w:r>
            <w:r w:rsidRPr="00295146">
              <w:rPr>
                <w:rFonts w:asciiTheme="minorHAnsi" w:eastAsia="Arial Unicode MS" w:hAnsiTheme="minorHAnsi" w:cstheme="minorHAnsi"/>
                <w:sz w:val="22"/>
                <w:szCs w:val="22"/>
              </w:rPr>
              <w:t xml:space="preserve"> o processo de certificação a cada dois anos (certificação com consulta pública e certificação de manutenção). Nessa certificação, serão adotados os parâmetros médios observados nas últimas quatro safras. Dessa forma, qualquer alteração na nota de eficiência especificamente no ano em que a certificação não foi aplicada será refletida na nota do produtor na certificação a ser realizada no ano subsequente. Essa alteração visa a operacionalização da certificação mais direta e objetiva, sem, contudo, promover qualquer prejuízo à quantificação das emissões.</w:t>
            </w:r>
            <w:r w:rsidR="00141BC6" w:rsidRPr="00295146">
              <w:rPr>
                <w:rFonts w:asciiTheme="minorHAnsi" w:eastAsia="Arial Unicode MS" w:hAnsiTheme="minorHAnsi" w:cstheme="minorHAnsi"/>
                <w:sz w:val="22"/>
                <w:szCs w:val="22"/>
              </w:rPr>
              <w:t xml:space="preserve"> Assim, a hipótese de emissão de novo Certificado da Produção Eficiente de Biocombustíveis a pedido do emissor primário ficaria limitada ao inciso I.</w:t>
            </w:r>
          </w:p>
        </w:tc>
      </w:tr>
      <w:tr w:rsidR="00A90936"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A90936" w:rsidRPr="00295146" w:rsidRDefault="00A90936" w:rsidP="00E6659B">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Art. 27</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A90936" w:rsidRPr="00295146" w:rsidRDefault="00A90936" w:rsidP="00A90936">
            <w:pPr>
              <w:spacing w:line="320" w:lineRule="atLeast"/>
              <w:jc w:val="both"/>
              <w:rPr>
                <w:rFonts w:asciiTheme="minorHAnsi" w:eastAsia="Arial Unicode MS" w:hAnsiTheme="minorHAnsi" w:cstheme="minorHAnsi"/>
                <w:color w:val="000000"/>
                <w:sz w:val="22"/>
                <w:szCs w:val="22"/>
              </w:rPr>
            </w:pPr>
            <w:r w:rsidRPr="00295146">
              <w:rPr>
                <w:rFonts w:asciiTheme="minorHAnsi" w:eastAsia="Arial Unicode MS" w:hAnsiTheme="minorHAnsi" w:cstheme="minorHAnsi"/>
                <w:color w:val="000000"/>
                <w:sz w:val="22"/>
                <w:szCs w:val="22"/>
              </w:rPr>
              <w:t>Sugere-se a inclusão de parágrafo:</w:t>
            </w:r>
          </w:p>
          <w:p w:rsidR="00A90936" w:rsidRPr="00295146" w:rsidRDefault="00A90936" w:rsidP="00A90936">
            <w:pPr>
              <w:spacing w:line="320" w:lineRule="atLeast"/>
              <w:jc w:val="both"/>
              <w:rPr>
                <w:rFonts w:asciiTheme="minorHAnsi" w:eastAsia="Arial Unicode MS" w:hAnsiTheme="minorHAnsi" w:cstheme="minorHAnsi"/>
                <w:color w:val="000000"/>
                <w:sz w:val="22"/>
                <w:szCs w:val="22"/>
              </w:rPr>
            </w:pPr>
          </w:p>
          <w:p w:rsidR="00A90936" w:rsidRPr="00295146" w:rsidRDefault="00A90936" w:rsidP="00A90936">
            <w:pPr>
              <w:spacing w:line="320" w:lineRule="atLeast"/>
              <w:jc w:val="both"/>
              <w:rPr>
                <w:rFonts w:asciiTheme="minorHAnsi" w:eastAsia="Arial Unicode MS" w:hAnsiTheme="minorHAnsi" w:cstheme="minorHAnsi"/>
                <w:color w:val="000000"/>
                <w:sz w:val="22"/>
                <w:szCs w:val="22"/>
              </w:rPr>
            </w:pPr>
            <w:r w:rsidRPr="00295146">
              <w:rPr>
                <w:rFonts w:asciiTheme="minorHAnsi" w:eastAsia="Arial Unicode MS" w:hAnsiTheme="minorHAnsi" w:cstheme="minorHAnsi"/>
                <w:color w:val="000000"/>
                <w:sz w:val="22"/>
                <w:szCs w:val="22"/>
              </w:rPr>
              <w:t xml:space="preserve">Art. 27. (...) </w:t>
            </w:r>
          </w:p>
          <w:p w:rsidR="00A90936" w:rsidRPr="00295146" w:rsidRDefault="00A90936" w:rsidP="00B63872">
            <w:pPr>
              <w:spacing w:line="320" w:lineRule="atLeast"/>
              <w:jc w:val="both"/>
              <w:rPr>
                <w:rFonts w:asciiTheme="minorHAnsi" w:eastAsia="Arial Unicode MS" w:hAnsiTheme="minorHAnsi" w:cstheme="minorHAnsi"/>
                <w:color w:val="000000"/>
                <w:sz w:val="22"/>
                <w:szCs w:val="22"/>
              </w:rPr>
            </w:pPr>
            <w:r w:rsidRPr="00295146">
              <w:rPr>
                <w:rFonts w:asciiTheme="minorHAnsi" w:eastAsia="Arial Unicode MS" w:hAnsiTheme="minorHAnsi" w:cstheme="minorHAnsi"/>
                <w:b/>
                <w:color w:val="FF0000"/>
                <w:sz w:val="22"/>
                <w:szCs w:val="22"/>
              </w:rPr>
              <w:t xml:space="preserve">§ 1º. Ao encaminhar as informações </w:t>
            </w:r>
            <w:r w:rsidR="00B63872" w:rsidRPr="00295146">
              <w:rPr>
                <w:rFonts w:asciiTheme="minorHAnsi" w:eastAsia="Arial Unicode MS" w:hAnsiTheme="minorHAnsi" w:cstheme="minorHAnsi"/>
                <w:b/>
                <w:color w:val="FF0000"/>
                <w:sz w:val="22"/>
                <w:szCs w:val="22"/>
              </w:rPr>
              <w:t>a que se refere este art. 27 à ANP, os agentes econômicos poderão requerer que algumas delas sejam de acesso restrito à ANP e demais órgãos públicos competentes</w:t>
            </w:r>
            <w:r w:rsidR="00D1766D" w:rsidRPr="00295146">
              <w:rPr>
                <w:rFonts w:asciiTheme="minorHAnsi" w:eastAsia="Arial Unicode MS" w:hAnsiTheme="minorHAnsi" w:cstheme="minorHAnsi"/>
                <w:b/>
                <w:color w:val="FF0000"/>
                <w:sz w:val="22"/>
                <w:szCs w:val="22"/>
              </w:rPr>
              <w:t>, nos termos do art. 22, §§ 3º e 4º, desta resolução</w:t>
            </w:r>
            <w:r w:rsidR="00D1766D" w:rsidRPr="00295146">
              <w:rPr>
                <w:rFonts w:asciiTheme="minorHAnsi" w:eastAsia="Arial Unicode MS" w:hAnsiTheme="minorHAnsi" w:cstheme="minorHAnsi"/>
                <w:color w:val="000000"/>
                <w:sz w:val="22"/>
                <w:szCs w:val="22"/>
              </w:rPr>
              <w:t xml:space="preserve">. </w:t>
            </w: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A90936" w:rsidRPr="00295146" w:rsidRDefault="00A90936" w:rsidP="00D1766D">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 xml:space="preserve">Na linha do que foi sugerido em relação ao art. 22, V e VI, entendemos que deve ser incluído parágrafo ao art. 27 com o objetivo de ressaltar a possibilidade de as emissoras primárias virem a </w:t>
            </w:r>
            <w:r w:rsidR="00D1766D" w:rsidRPr="00295146">
              <w:rPr>
                <w:rFonts w:asciiTheme="minorHAnsi" w:eastAsia="Arial Unicode MS" w:hAnsiTheme="minorHAnsi" w:cstheme="minorHAnsi"/>
                <w:sz w:val="22"/>
                <w:szCs w:val="22"/>
              </w:rPr>
              <w:t xml:space="preserve">requerer acesso restrito às </w:t>
            </w:r>
            <w:r w:rsidRPr="00295146">
              <w:rPr>
                <w:rFonts w:asciiTheme="minorHAnsi" w:eastAsia="Arial Unicode MS" w:hAnsiTheme="minorHAnsi" w:cstheme="minorHAnsi"/>
                <w:sz w:val="22"/>
                <w:szCs w:val="22"/>
              </w:rPr>
              <w:t xml:space="preserve">informações que serão encaminhadas à ANP, nos casos em que o processo de certificação estiver submetido ao disposto no art. 27. </w:t>
            </w:r>
          </w:p>
        </w:tc>
      </w:tr>
      <w:tr w:rsidR="007F30A1" w:rsidRPr="00295146" w:rsidTr="007D7833">
        <w:trPr>
          <w:gridBefore w:val="1"/>
          <w:wBefore w:w="25" w:type="dxa"/>
          <w:trHeight w:val="636"/>
        </w:trPr>
        <w:tc>
          <w:tcPr>
            <w:tcW w:w="14317" w:type="dxa"/>
            <w:gridSpan w:val="7"/>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7F30A1" w:rsidRPr="00295146" w:rsidRDefault="007F30A1" w:rsidP="00E6659B">
            <w:pPr>
              <w:spacing w:line="320" w:lineRule="atLeast"/>
              <w:jc w:val="both"/>
              <w:rPr>
                <w:rFonts w:asciiTheme="minorHAnsi" w:eastAsia="Arial Unicode MS" w:hAnsiTheme="minorHAnsi" w:cstheme="minorHAnsi"/>
                <w:b/>
                <w:color w:val="FF0000"/>
                <w:sz w:val="22"/>
                <w:szCs w:val="22"/>
              </w:rPr>
            </w:pPr>
            <w:r w:rsidRPr="00295146">
              <w:rPr>
                <w:rFonts w:asciiTheme="minorHAnsi" w:eastAsia="Arial Unicode MS" w:hAnsiTheme="minorHAnsi" w:cstheme="minorHAnsi"/>
                <w:b/>
                <w:color w:val="FF0000"/>
                <w:sz w:val="22"/>
                <w:szCs w:val="22"/>
              </w:rPr>
              <w:t>Propostas de alteração no Anexo</w:t>
            </w:r>
            <w:r w:rsidR="00B63872" w:rsidRPr="00295146">
              <w:rPr>
                <w:rFonts w:asciiTheme="minorHAnsi" w:eastAsia="Arial Unicode MS" w:hAnsiTheme="minorHAnsi" w:cstheme="minorHAnsi"/>
                <w:b/>
                <w:color w:val="FF0000"/>
                <w:sz w:val="22"/>
                <w:szCs w:val="22"/>
              </w:rPr>
              <w:t xml:space="preserve"> I</w:t>
            </w:r>
          </w:p>
        </w:tc>
      </w:tr>
      <w:tr w:rsidR="00B05AD9"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925071" w:rsidP="00B05AD9">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Capítulo 4, Tabela 7, item 2</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925071" w:rsidP="00B05AD9">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Solicitamos a alteração do texto que determina a forma de comprovação da área total conforme sugestão a seguir:</w:t>
            </w:r>
          </w:p>
          <w:p w:rsidR="00925071" w:rsidRPr="00295146" w:rsidRDefault="00925071" w:rsidP="00B05AD9">
            <w:pPr>
              <w:spacing w:line="320" w:lineRule="atLeast"/>
              <w:jc w:val="both"/>
              <w:rPr>
                <w:rFonts w:asciiTheme="minorHAnsi" w:eastAsia="Arial Unicode MS" w:hAnsiTheme="minorHAnsi" w:cstheme="minorHAnsi"/>
                <w:sz w:val="22"/>
                <w:szCs w:val="22"/>
              </w:rPr>
            </w:pPr>
          </w:p>
          <w:p w:rsidR="00925071" w:rsidRPr="00295146" w:rsidRDefault="00925071" w:rsidP="00B05AD9">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 xml:space="preserve">Verificar por imagens de satélite, de resolução espacial melhor ou igual a 30 m, e técnicas de geoprocessamento </w:t>
            </w:r>
            <w:r w:rsidRPr="00295146">
              <w:rPr>
                <w:rFonts w:asciiTheme="minorHAnsi" w:eastAsia="Arial Unicode MS" w:hAnsiTheme="minorHAnsi" w:cstheme="minorHAnsi"/>
                <w:b/>
                <w:color w:val="FF0000"/>
                <w:sz w:val="22"/>
                <w:szCs w:val="22"/>
              </w:rPr>
              <w:t>ou por meio das imagens e informações disponíveis no Cadastro Ambiental Rural (CAR).</w:t>
            </w:r>
          </w:p>
          <w:p w:rsidR="00925071" w:rsidRPr="00295146" w:rsidRDefault="00925071" w:rsidP="00B05AD9">
            <w:pPr>
              <w:spacing w:line="320" w:lineRule="atLeast"/>
              <w:jc w:val="both"/>
              <w:rPr>
                <w:rFonts w:asciiTheme="minorHAnsi" w:eastAsia="Arial Unicode MS" w:hAnsiTheme="minorHAnsi" w:cstheme="minorHAnsi"/>
                <w:color w:val="000000"/>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925071" w:rsidP="00B05AD9">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O CAR é o instrumento adequado para verificação do uso dos imóveis rurais, bem como a sua regularidade ambiental.  Desta forma, a exemplo da sugestão apresentada no parágrafo 2º, do art. 17, solicita-se que as informações declaradas pelas unidades produtoras no CAR possam ser utilizadas para comprovação da área total cultivada, uma vez que isso não apenas reduziria custos e morosidade no processo, como também otimizaria a apresentação e análise das informações.</w:t>
            </w:r>
          </w:p>
        </w:tc>
      </w:tr>
      <w:tr w:rsidR="00B05AD9"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Capítulo 4, Tabela 7, item 3</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 xml:space="preserve">Solicitamos a alteração do texto que determina a forma de comprovação da área queimada, conforme sugestão a seguir: </w:t>
            </w:r>
          </w:p>
          <w:p w:rsidR="00B05AD9" w:rsidRPr="00295146" w:rsidRDefault="00B05AD9" w:rsidP="00B05AD9">
            <w:pPr>
              <w:spacing w:line="320" w:lineRule="atLeast"/>
              <w:jc w:val="both"/>
              <w:rPr>
                <w:rFonts w:asciiTheme="minorHAnsi" w:eastAsia="Arial Unicode MS" w:hAnsiTheme="minorHAnsi" w:cstheme="minorHAnsi"/>
                <w:sz w:val="22"/>
                <w:szCs w:val="22"/>
              </w:rPr>
            </w:pPr>
          </w:p>
          <w:p w:rsidR="00B05AD9" w:rsidRPr="00295146" w:rsidRDefault="00B05AD9" w:rsidP="00B05AD9">
            <w:pPr>
              <w:spacing w:line="320" w:lineRule="atLeast"/>
              <w:jc w:val="both"/>
              <w:rPr>
                <w:rFonts w:asciiTheme="minorHAnsi" w:eastAsia="Arial Unicode MS" w:hAnsiTheme="minorHAnsi" w:cstheme="minorHAnsi"/>
                <w:sz w:val="22"/>
                <w:szCs w:val="22"/>
              </w:rPr>
            </w:pPr>
            <w:r w:rsidRPr="00295146">
              <w:rPr>
                <w:rFonts w:asciiTheme="minorHAnsi" w:hAnsiTheme="minorHAnsi" w:cstheme="minorHAnsi"/>
                <w:sz w:val="22"/>
                <w:szCs w:val="22"/>
              </w:rPr>
              <w:t>Verificar por meio do sistema de PIMS (</w:t>
            </w:r>
            <w:proofErr w:type="spellStart"/>
            <w:r w:rsidRPr="00295146">
              <w:rPr>
                <w:rFonts w:asciiTheme="minorHAnsi" w:hAnsiTheme="minorHAnsi" w:cstheme="minorHAnsi"/>
                <w:sz w:val="22"/>
                <w:szCs w:val="22"/>
              </w:rPr>
              <w:t>Plant</w:t>
            </w:r>
            <w:proofErr w:type="spellEnd"/>
            <w:r w:rsidRPr="00295146">
              <w:rPr>
                <w:rFonts w:asciiTheme="minorHAnsi" w:hAnsiTheme="minorHAnsi" w:cstheme="minorHAnsi"/>
                <w:sz w:val="22"/>
                <w:szCs w:val="22"/>
              </w:rPr>
              <w:t xml:space="preserve"> </w:t>
            </w:r>
            <w:proofErr w:type="spellStart"/>
            <w:r w:rsidRPr="00295146">
              <w:rPr>
                <w:rFonts w:asciiTheme="minorHAnsi" w:hAnsiTheme="minorHAnsi" w:cstheme="minorHAnsi"/>
                <w:sz w:val="22"/>
                <w:szCs w:val="22"/>
              </w:rPr>
              <w:t>Information</w:t>
            </w:r>
            <w:proofErr w:type="spellEnd"/>
            <w:r w:rsidRPr="00295146">
              <w:rPr>
                <w:rFonts w:asciiTheme="minorHAnsi" w:hAnsiTheme="minorHAnsi" w:cstheme="minorHAnsi"/>
                <w:sz w:val="22"/>
                <w:szCs w:val="22"/>
              </w:rPr>
              <w:t xml:space="preserve"> Management System) </w:t>
            </w:r>
            <w:r w:rsidRPr="00295146">
              <w:rPr>
                <w:rFonts w:asciiTheme="minorHAnsi" w:hAnsiTheme="minorHAnsi" w:cstheme="minorHAnsi"/>
                <w:b/>
                <w:color w:val="FF0000"/>
                <w:sz w:val="22"/>
                <w:szCs w:val="22"/>
              </w:rPr>
              <w:t>ou de outro sistema de controle gerencial de cada usina</w:t>
            </w:r>
            <w:r w:rsidRPr="00295146">
              <w:rPr>
                <w:rFonts w:asciiTheme="minorHAnsi" w:hAnsiTheme="minorHAnsi" w:cstheme="minorHAnsi"/>
                <w:sz w:val="22"/>
                <w:szCs w:val="22"/>
                <w:u w:val="single"/>
              </w:rPr>
              <w:t>.</w:t>
            </w:r>
          </w:p>
          <w:p w:rsidR="00B05AD9" w:rsidRPr="00295146" w:rsidRDefault="00B05AD9" w:rsidP="00B05AD9">
            <w:pPr>
              <w:spacing w:line="320" w:lineRule="atLeast"/>
              <w:jc w:val="both"/>
              <w:rPr>
                <w:rFonts w:asciiTheme="minorHAnsi" w:eastAsia="Arial Unicode MS" w:hAnsiTheme="minorHAnsi" w:cstheme="minorHAnsi"/>
                <w:color w:val="000000"/>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sz w:val="22"/>
                <w:szCs w:val="22"/>
              </w:rPr>
            </w:pPr>
            <w:r w:rsidRPr="00295146">
              <w:rPr>
                <w:rFonts w:asciiTheme="minorHAnsi" w:hAnsiTheme="minorHAnsi" w:cstheme="minorHAnsi"/>
                <w:sz w:val="22"/>
                <w:szCs w:val="22"/>
              </w:rPr>
              <w:t>O PIMS é um dos sistemas de controle gerencial adotado pelos produtores. É importante a previsão do uso de sistemas concorrentes empregados por alguns produtores.</w:t>
            </w:r>
          </w:p>
        </w:tc>
      </w:tr>
      <w:tr w:rsidR="00B05AD9" w:rsidRPr="00295146" w:rsidTr="007D7833">
        <w:trPr>
          <w:gridBefore w:val="1"/>
          <w:wBefore w:w="25" w:type="dxa"/>
          <w:trHeight w:val="636"/>
        </w:trPr>
        <w:tc>
          <w:tcPr>
            <w:tcW w:w="14317" w:type="dxa"/>
            <w:gridSpan w:val="7"/>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b/>
                <w:color w:val="FF0000"/>
                <w:sz w:val="22"/>
                <w:szCs w:val="22"/>
              </w:rPr>
            </w:pPr>
            <w:r w:rsidRPr="00295146">
              <w:rPr>
                <w:rFonts w:asciiTheme="minorHAnsi" w:eastAsia="Arial Unicode MS" w:hAnsiTheme="minorHAnsi" w:cstheme="minorHAnsi"/>
                <w:b/>
                <w:color w:val="FF0000"/>
                <w:sz w:val="22"/>
                <w:szCs w:val="22"/>
              </w:rPr>
              <w:t xml:space="preserve">Propostas de alteração na nota técnica </w:t>
            </w:r>
            <w:proofErr w:type="spellStart"/>
            <w:r w:rsidRPr="00295146">
              <w:rPr>
                <w:rFonts w:asciiTheme="minorHAnsi" w:eastAsia="Arial Unicode MS" w:hAnsiTheme="minorHAnsi" w:cstheme="minorHAnsi"/>
                <w:b/>
                <w:color w:val="FF0000"/>
                <w:sz w:val="22"/>
                <w:szCs w:val="22"/>
              </w:rPr>
              <w:t>RenovaCalc</w:t>
            </w:r>
            <w:proofErr w:type="spellEnd"/>
            <w:r w:rsidRPr="00295146">
              <w:rPr>
                <w:rFonts w:asciiTheme="minorHAnsi" w:eastAsia="Arial Unicode MS" w:hAnsiTheme="minorHAnsi" w:cstheme="minorHAnsi"/>
                <w:b/>
                <w:color w:val="FF0000"/>
                <w:sz w:val="22"/>
                <w:szCs w:val="22"/>
              </w:rPr>
              <w:t xml:space="preserve"> - EMBRAPA</w:t>
            </w:r>
          </w:p>
        </w:tc>
      </w:tr>
      <w:tr w:rsidR="00B05AD9"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Capítulo 5, tópico 1, Subitem 1</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Solicitamos a alteração do texto do subitem 1, disposto no tópico 1, do capítulo 5:</w:t>
            </w:r>
          </w:p>
          <w:p w:rsidR="00B05AD9" w:rsidRPr="00295146" w:rsidRDefault="00B05AD9" w:rsidP="00B05AD9">
            <w:pPr>
              <w:spacing w:line="320" w:lineRule="atLeast"/>
              <w:jc w:val="both"/>
              <w:rPr>
                <w:rFonts w:asciiTheme="minorHAnsi" w:eastAsia="Arial Unicode MS" w:hAnsiTheme="minorHAnsi" w:cstheme="minorHAnsi"/>
                <w:sz w:val="22"/>
                <w:szCs w:val="22"/>
              </w:rPr>
            </w:pPr>
          </w:p>
          <w:p w:rsidR="00B05AD9" w:rsidRPr="00295146" w:rsidRDefault="00B05AD9" w:rsidP="00B05AD9">
            <w:pPr>
              <w:shd w:val="clear" w:color="auto" w:fill="FFFFFF"/>
              <w:spacing w:after="120" w:line="320" w:lineRule="atLeast"/>
              <w:jc w:val="both"/>
              <w:rPr>
                <w:rFonts w:asciiTheme="minorHAnsi" w:hAnsiTheme="minorHAnsi" w:cstheme="minorHAnsi"/>
                <w:sz w:val="22"/>
                <w:szCs w:val="22"/>
              </w:rPr>
            </w:pPr>
            <w:r w:rsidRPr="00295146">
              <w:rPr>
                <w:rFonts w:asciiTheme="minorHAnsi" w:hAnsiTheme="minorHAnsi" w:cstheme="minorHAnsi"/>
                <w:sz w:val="22"/>
                <w:szCs w:val="22"/>
              </w:rPr>
              <w:t>(...)</w:t>
            </w:r>
          </w:p>
          <w:p w:rsidR="00B05AD9" w:rsidRPr="00295146" w:rsidRDefault="00B05AD9" w:rsidP="00B05AD9">
            <w:pPr>
              <w:pStyle w:val="Default"/>
              <w:spacing w:line="320" w:lineRule="atLeast"/>
              <w:jc w:val="both"/>
              <w:rPr>
                <w:rFonts w:asciiTheme="minorHAnsi" w:hAnsiTheme="minorHAnsi" w:cstheme="minorHAnsi"/>
                <w:sz w:val="22"/>
                <w:szCs w:val="22"/>
              </w:rPr>
            </w:pPr>
            <w:r w:rsidRPr="00295146">
              <w:rPr>
                <w:rFonts w:asciiTheme="minorHAnsi" w:hAnsiTheme="minorHAnsi" w:cstheme="minorHAnsi"/>
                <w:sz w:val="22"/>
                <w:szCs w:val="22"/>
              </w:rPr>
              <w:t xml:space="preserve">a) No “perfil de produção específico” são fornecidos dados primários do processo agrícola das áreas de produção da usina e de seus fornecedores individualmente; </w:t>
            </w:r>
          </w:p>
          <w:p w:rsidR="00B05AD9" w:rsidRPr="00295146" w:rsidRDefault="00B05AD9" w:rsidP="00B05AD9">
            <w:pPr>
              <w:shd w:val="clear" w:color="auto" w:fill="FFFFFF"/>
              <w:spacing w:after="120" w:line="320" w:lineRule="atLeast"/>
              <w:jc w:val="both"/>
              <w:rPr>
                <w:rFonts w:asciiTheme="minorHAnsi" w:hAnsiTheme="minorHAnsi" w:cstheme="minorHAnsi"/>
                <w:sz w:val="22"/>
                <w:szCs w:val="22"/>
              </w:rPr>
            </w:pPr>
          </w:p>
          <w:p w:rsidR="00B05AD9" w:rsidRPr="00295146" w:rsidRDefault="00B05AD9" w:rsidP="00B05AD9">
            <w:pPr>
              <w:shd w:val="clear" w:color="auto" w:fill="FFFFFF"/>
              <w:spacing w:after="120" w:line="320" w:lineRule="atLeast"/>
              <w:jc w:val="both"/>
              <w:rPr>
                <w:rFonts w:asciiTheme="minorHAnsi" w:hAnsiTheme="minorHAnsi" w:cstheme="minorHAnsi"/>
                <w:sz w:val="22"/>
                <w:szCs w:val="22"/>
              </w:rPr>
            </w:pPr>
            <w:r w:rsidRPr="00295146">
              <w:rPr>
                <w:rFonts w:asciiTheme="minorHAnsi" w:hAnsiTheme="minorHAnsi" w:cstheme="minorHAnsi"/>
                <w:sz w:val="22"/>
                <w:szCs w:val="22"/>
              </w:rPr>
              <w:t>(...)</w:t>
            </w:r>
          </w:p>
          <w:p w:rsidR="00B05AD9" w:rsidRPr="00295146" w:rsidRDefault="00B05AD9" w:rsidP="00B05AD9">
            <w:pPr>
              <w:pStyle w:val="Default"/>
              <w:spacing w:line="320" w:lineRule="atLeast"/>
              <w:jc w:val="both"/>
              <w:rPr>
                <w:rFonts w:asciiTheme="minorHAnsi" w:hAnsiTheme="minorHAnsi" w:cstheme="minorHAnsi"/>
                <w:sz w:val="22"/>
                <w:szCs w:val="22"/>
              </w:rPr>
            </w:pPr>
            <w:r w:rsidRPr="00295146">
              <w:rPr>
                <w:rFonts w:asciiTheme="minorHAnsi" w:hAnsiTheme="minorHAnsi" w:cstheme="minorHAnsi"/>
                <w:sz w:val="22"/>
                <w:szCs w:val="22"/>
              </w:rPr>
              <w:t xml:space="preserve">É permitido adotar: </w:t>
            </w:r>
          </w:p>
          <w:p w:rsidR="00B05AD9" w:rsidRPr="00295146" w:rsidRDefault="00B05AD9" w:rsidP="00B05AD9">
            <w:pPr>
              <w:pStyle w:val="Default"/>
              <w:spacing w:line="320" w:lineRule="atLeast"/>
              <w:jc w:val="both"/>
              <w:rPr>
                <w:rFonts w:asciiTheme="minorHAnsi" w:hAnsiTheme="minorHAnsi" w:cstheme="minorHAnsi"/>
                <w:sz w:val="22"/>
                <w:szCs w:val="22"/>
              </w:rPr>
            </w:pPr>
            <w:r w:rsidRPr="00295146">
              <w:rPr>
                <w:rFonts w:asciiTheme="minorHAnsi" w:hAnsiTheme="minorHAnsi" w:cstheme="minorHAnsi"/>
                <w:sz w:val="22"/>
                <w:szCs w:val="22"/>
              </w:rPr>
              <w:t xml:space="preserve">a) O “perfil de produção específico” para ambos, usina e fornecedores individualmente; </w:t>
            </w:r>
          </w:p>
          <w:p w:rsidR="00B05AD9" w:rsidRPr="00295146" w:rsidRDefault="00B05AD9" w:rsidP="00B05AD9">
            <w:pPr>
              <w:pStyle w:val="Default"/>
              <w:spacing w:line="320" w:lineRule="atLeast"/>
              <w:jc w:val="both"/>
              <w:rPr>
                <w:rFonts w:asciiTheme="minorHAnsi" w:hAnsiTheme="minorHAnsi" w:cstheme="minorHAnsi"/>
                <w:sz w:val="22"/>
                <w:szCs w:val="22"/>
              </w:rPr>
            </w:pPr>
            <w:r w:rsidRPr="00295146">
              <w:rPr>
                <w:rFonts w:asciiTheme="minorHAnsi" w:hAnsiTheme="minorHAnsi" w:cstheme="minorHAnsi"/>
                <w:sz w:val="22"/>
                <w:szCs w:val="22"/>
              </w:rPr>
              <w:t xml:space="preserve">b) o “perfil de produção padrão” para ambos, usina e fornecedores individualmente; </w:t>
            </w:r>
          </w:p>
          <w:p w:rsidR="00B05AD9" w:rsidRPr="00295146" w:rsidRDefault="00B05AD9" w:rsidP="00B05AD9">
            <w:pPr>
              <w:pStyle w:val="Default"/>
              <w:spacing w:line="320" w:lineRule="atLeast"/>
              <w:jc w:val="both"/>
              <w:rPr>
                <w:rFonts w:asciiTheme="minorHAnsi" w:hAnsiTheme="minorHAnsi" w:cstheme="minorHAnsi"/>
                <w:sz w:val="22"/>
                <w:szCs w:val="22"/>
              </w:rPr>
            </w:pPr>
            <w:r w:rsidRPr="00295146">
              <w:rPr>
                <w:rFonts w:asciiTheme="minorHAnsi" w:hAnsiTheme="minorHAnsi" w:cstheme="minorHAnsi"/>
                <w:sz w:val="22"/>
                <w:szCs w:val="22"/>
              </w:rPr>
              <w:t xml:space="preserve">c) O “perfil de produção específico” para usina e o “perfil de produção padrão” para fornecedores individualmente. </w:t>
            </w:r>
          </w:p>
          <w:p w:rsidR="00B05AD9" w:rsidRPr="00295146" w:rsidRDefault="00B05AD9" w:rsidP="00B05AD9">
            <w:pPr>
              <w:shd w:val="clear" w:color="auto" w:fill="FFFFFF"/>
              <w:spacing w:after="120" w:line="320" w:lineRule="atLeast"/>
              <w:jc w:val="both"/>
              <w:rPr>
                <w:rFonts w:asciiTheme="minorHAnsi" w:hAnsiTheme="minorHAnsi" w:cstheme="minorHAnsi"/>
                <w:sz w:val="22"/>
                <w:szCs w:val="22"/>
              </w:rPr>
            </w:pPr>
            <w:r w:rsidRPr="00295146">
              <w:rPr>
                <w:rFonts w:asciiTheme="minorHAnsi" w:hAnsiTheme="minorHAnsi" w:cstheme="minorHAnsi"/>
                <w:sz w:val="22"/>
                <w:szCs w:val="22"/>
              </w:rPr>
              <w:t>d) O “perfil de produção padrão” para usina e o “perfil de produção específico” para fornecedores individualmente.</w:t>
            </w:r>
          </w:p>
          <w:p w:rsidR="00B05AD9" w:rsidRPr="00295146" w:rsidRDefault="00B05AD9" w:rsidP="00B05AD9">
            <w:pPr>
              <w:shd w:val="clear" w:color="auto" w:fill="FFFFFF"/>
              <w:spacing w:after="120" w:line="320" w:lineRule="atLeast"/>
              <w:jc w:val="both"/>
              <w:rPr>
                <w:rFonts w:asciiTheme="minorHAnsi" w:hAnsiTheme="minorHAnsi" w:cstheme="minorHAnsi"/>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sz w:val="22"/>
                <w:szCs w:val="22"/>
              </w:rPr>
            </w:pPr>
            <w:r w:rsidRPr="00295146">
              <w:rPr>
                <w:rFonts w:asciiTheme="minorHAnsi" w:eastAsia="Arial Unicode MS" w:hAnsiTheme="minorHAnsi" w:cstheme="minorHAnsi"/>
                <w:sz w:val="22"/>
                <w:szCs w:val="22"/>
              </w:rPr>
              <w:t>Redação deve evitar problemas de interpretação, evidenciando a possibilidade de adotar perfil de produção padrão apenas para parcela dos fornecedores de biomassa</w:t>
            </w:r>
          </w:p>
        </w:tc>
      </w:tr>
      <w:tr w:rsidR="00B05AD9" w:rsidRPr="00295146" w:rsidTr="007D7833">
        <w:trPr>
          <w:gridBefore w:val="1"/>
          <w:wBefore w:w="25" w:type="dxa"/>
          <w:trHeight w:val="636"/>
        </w:trPr>
        <w:tc>
          <w:tcPr>
            <w:tcW w:w="14317" w:type="dxa"/>
            <w:gridSpan w:val="7"/>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b/>
                <w:color w:val="FF0000"/>
                <w:sz w:val="22"/>
                <w:szCs w:val="22"/>
              </w:rPr>
            </w:pPr>
            <w:r w:rsidRPr="00295146">
              <w:rPr>
                <w:rFonts w:asciiTheme="minorHAnsi" w:eastAsia="Arial Unicode MS" w:hAnsiTheme="minorHAnsi" w:cstheme="minorHAnsi"/>
                <w:b/>
                <w:color w:val="FF0000"/>
                <w:sz w:val="22"/>
                <w:szCs w:val="22"/>
              </w:rPr>
              <w:t xml:space="preserve">Consideração sobre a calculadora </w:t>
            </w:r>
            <w:proofErr w:type="spellStart"/>
            <w:r w:rsidRPr="00295146">
              <w:rPr>
                <w:rFonts w:asciiTheme="minorHAnsi" w:eastAsia="Arial Unicode MS" w:hAnsiTheme="minorHAnsi" w:cstheme="minorHAnsi"/>
                <w:b/>
                <w:color w:val="FF0000"/>
                <w:sz w:val="22"/>
                <w:szCs w:val="22"/>
              </w:rPr>
              <w:t>RenovaCalc</w:t>
            </w:r>
            <w:proofErr w:type="spellEnd"/>
            <w:r w:rsidRPr="00295146">
              <w:rPr>
                <w:rFonts w:asciiTheme="minorHAnsi" w:eastAsia="Arial Unicode MS" w:hAnsiTheme="minorHAnsi" w:cstheme="minorHAnsi"/>
                <w:b/>
                <w:color w:val="FF0000"/>
                <w:sz w:val="22"/>
                <w:szCs w:val="22"/>
              </w:rPr>
              <w:t xml:space="preserve"> (planilha eletrônica disponibilizada na consulta pública)</w:t>
            </w:r>
          </w:p>
        </w:tc>
      </w:tr>
      <w:tr w:rsidR="00B05AD9"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Fase industrial – Processamento de etanol</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color w:val="000000"/>
                <w:sz w:val="22"/>
                <w:szCs w:val="22"/>
              </w:rPr>
            </w:pPr>
            <w:r w:rsidRPr="00295146">
              <w:rPr>
                <w:rFonts w:asciiTheme="minorHAnsi" w:eastAsia="Arial Unicode MS" w:hAnsiTheme="minorHAnsi" w:cstheme="minorHAnsi"/>
                <w:color w:val="000000"/>
                <w:sz w:val="22"/>
                <w:szCs w:val="22"/>
              </w:rPr>
              <w:t>As unidades que não possuem produção de etanol anidro não conseguem visualizar a nota de eficiência ambiental por causa de um erro na calculadora ao zerar a produção de anidro no rendimento industrial.</w:t>
            </w:r>
          </w:p>
          <w:p w:rsidR="00B05AD9" w:rsidRPr="00295146" w:rsidRDefault="00B05AD9" w:rsidP="00B05AD9">
            <w:pPr>
              <w:spacing w:line="320" w:lineRule="atLeast"/>
              <w:jc w:val="both"/>
              <w:rPr>
                <w:rFonts w:asciiTheme="minorHAnsi" w:eastAsia="Arial Unicode MS" w:hAnsiTheme="minorHAnsi" w:cstheme="minorHAnsi"/>
                <w:color w:val="000000"/>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sz w:val="22"/>
                <w:szCs w:val="22"/>
              </w:rPr>
            </w:pPr>
          </w:p>
        </w:tc>
      </w:tr>
      <w:tr w:rsidR="00B05AD9" w:rsidRPr="00295146" w:rsidTr="007D7833">
        <w:trPr>
          <w:gridBefore w:val="1"/>
          <w:wBefore w:w="25" w:type="dxa"/>
          <w:trHeight w:val="636"/>
        </w:trPr>
        <w:tc>
          <w:tcPr>
            <w:tcW w:w="2694" w:type="dxa"/>
            <w:gridSpan w:val="2"/>
            <w:tcBorders>
              <w:top w:val="single" w:sz="4" w:space="0" w:color="auto"/>
              <w:left w:val="single" w:sz="4" w:space="0" w:color="auto"/>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b/>
                <w:sz w:val="22"/>
                <w:szCs w:val="22"/>
              </w:rPr>
            </w:pPr>
            <w:r w:rsidRPr="00295146">
              <w:rPr>
                <w:rFonts w:asciiTheme="minorHAnsi" w:eastAsia="Arial Unicode MS" w:hAnsiTheme="minorHAnsi" w:cstheme="minorHAnsi"/>
                <w:b/>
                <w:sz w:val="22"/>
                <w:szCs w:val="22"/>
              </w:rPr>
              <w:t>Distribuição de combustíveis</w:t>
            </w:r>
          </w:p>
        </w:tc>
        <w:tc>
          <w:tcPr>
            <w:tcW w:w="5953" w:type="dxa"/>
            <w:gridSpan w:val="3"/>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color w:val="000000"/>
                <w:sz w:val="22"/>
                <w:szCs w:val="22"/>
              </w:rPr>
            </w:pPr>
            <w:r w:rsidRPr="00295146">
              <w:rPr>
                <w:rFonts w:asciiTheme="minorHAnsi" w:eastAsia="Arial Unicode MS" w:hAnsiTheme="minorHAnsi" w:cstheme="minorHAnsi"/>
                <w:color w:val="000000"/>
                <w:sz w:val="22"/>
                <w:szCs w:val="22"/>
              </w:rPr>
              <w:t>Em todas as rotas de produção de etanol dispostas na calculadora, ao optar pelo modal ferroviário a unidade produtora terá uma nota mais baixa de eficiência ambiental do que se priorizasse o modal rodoviário. Essa dinâmica contrasta com a metodologia apresentada na nota técnica</w:t>
            </w:r>
          </w:p>
          <w:p w:rsidR="00B05AD9" w:rsidRPr="00295146" w:rsidRDefault="00B05AD9" w:rsidP="00B05AD9">
            <w:pPr>
              <w:spacing w:line="320" w:lineRule="atLeast"/>
              <w:jc w:val="both"/>
              <w:rPr>
                <w:rFonts w:asciiTheme="minorHAnsi" w:eastAsia="Arial Unicode MS" w:hAnsiTheme="minorHAnsi" w:cstheme="minorHAnsi"/>
                <w:color w:val="000000"/>
                <w:sz w:val="22"/>
                <w:szCs w:val="22"/>
              </w:rPr>
            </w:pPr>
          </w:p>
        </w:tc>
        <w:tc>
          <w:tcPr>
            <w:tcW w:w="5670" w:type="dxa"/>
            <w:gridSpan w:val="2"/>
            <w:tcBorders>
              <w:top w:val="single" w:sz="4" w:space="0" w:color="auto"/>
              <w:left w:val="nil"/>
              <w:bottom w:val="single" w:sz="4" w:space="0" w:color="auto"/>
              <w:right w:val="single" w:sz="4" w:space="0" w:color="auto"/>
            </w:tcBorders>
            <w:shd w:val="clear" w:color="auto" w:fill="FFFFFF"/>
            <w:tcMar>
              <w:top w:w="20" w:type="dxa"/>
              <w:left w:w="20" w:type="dxa"/>
              <w:bottom w:w="0" w:type="dxa"/>
              <w:right w:w="20" w:type="dxa"/>
            </w:tcMar>
            <w:vAlign w:val="center"/>
          </w:tcPr>
          <w:p w:rsidR="00B05AD9" w:rsidRPr="00295146" w:rsidRDefault="00B05AD9" w:rsidP="00B05AD9">
            <w:pPr>
              <w:spacing w:line="320" w:lineRule="atLeast"/>
              <w:jc w:val="both"/>
              <w:rPr>
                <w:rFonts w:asciiTheme="minorHAnsi" w:eastAsia="Arial Unicode MS" w:hAnsiTheme="minorHAnsi" w:cstheme="minorHAnsi"/>
                <w:sz w:val="22"/>
                <w:szCs w:val="22"/>
              </w:rPr>
            </w:pPr>
          </w:p>
        </w:tc>
      </w:tr>
    </w:tbl>
    <w:p w:rsidR="004602FD" w:rsidRPr="00295146" w:rsidRDefault="00100689" w:rsidP="00E6659B">
      <w:pPr>
        <w:spacing w:line="320" w:lineRule="atLeast"/>
        <w:jc w:val="both"/>
        <w:rPr>
          <w:rFonts w:asciiTheme="minorHAnsi" w:hAnsiTheme="minorHAnsi" w:cstheme="minorHAnsi"/>
          <w:sz w:val="22"/>
          <w:szCs w:val="22"/>
        </w:rPr>
      </w:pPr>
      <w:r w:rsidRPr="00295146">
        <w:rPr>
          <w:rFonts w:asciiTheme="minorHAnsi" w:eastAsia="Arial Unicode MS" w:hAnsiTheme="minorHAnsi" w:cstheme="minorHAnsi"/>
          <w:sz w:val="22"/>
          <w:szCs w:val="22"/>
        </w:rPr>
        <w:t xml:space="preserve">Este formulário deverá ser encaminhado à ANP para o endereço eletrônico: </w:t>
      </w:r>
      <w:r w:rsidR="00C501A6" w:rsidRPr="00295146">
        <w:rPr>
          <w:rFonts w:asciiTheme="minorHAnsi" w:eastAsia="Arial Unicode MS" w:hAnsiTheme="minorHAnsi" w:cstheme="minorHAnsi"/>
          <w:sz w:val="22"/>
          <w:szCs w:val="22"/>
        </w:rPr>
        <w:t>conspub_qualidade@anp.gov.br</w:t>
      </w:r>
      <w:r w:rsidRPr="00295146">
        <w:rPr>
          <w:rFonts w:asciiTheme="minorHAnsi" w:eastAsia="Arial Unicode MS" w:hAnsiTheme="minorHAnsi" w:cstheme="minorHAnsi"/>
          <w:sz w:val="22"/>
          <w:szCs w:val="22"/>
        </w:rPr>
        <w:t xml:space="preserve">, fax (21) </w:t>
      </w:r>
      <w:r w:rsidR="00C501A6" w:rsidRPr="00295146">
        <w:rPr>
          <w:rFonts w:asciiTheme="minorHAnsi" w:eastAsia="Arial Unicode MS" w:hAnsiTheme="minorHAnsi" w:cstheme="minorHAnsi"/>
          <w:sz w:val="22"/>
          <w:szCs w:val="22"/>
        </w:rPr>
        <w:t>2112</w:t>
      </w:r>
      <w:r w:rsidR="00BF7D73" w:rsidRPr="00295146">
        <w:rPr>
          <w:rFonts w:asciiTheme="minorHAnsi" w:eastAsia="Arial Unicode MS" w:hAnsiTheme="minorHAnsi" w:cstheme="minorHAnsi"/>
          <w:sz w:val="22"/>
          <w:szCs w:val="22"/>
        </w:rPr>
        <w:t>-</w:t>
      </w:r>
      <w:r w:rsidR="00C501A6" w:rsidRPr="00295146">
        <w:rPr>
          <w:rFonts w:asciiTheme="minorHAnsi" w:eastAsia="Arial Unicode MS" w:hAnsiTheme="minorHAnsi" w:cstheme="minorHAnsi"/>
          <w:sz w:val="22"/>
          <w:szCs w:val="22"/>
        </w:rPr>
        <w:t>8669</w:t>
      </w:r>
      <w:r w:rsidRPr="00295146">
        <w:rPr>
          <w:rFonts w:asciiTheme="minorHAnsi" w:eastAsia="Arial Unicode MS" w:hAnsiTheme="minorHAnsi" w:cstheme="minorHAnsi"/>
          <w:sz w:val="22"/>
          <w:szCs w:val="22"/>
        </w:rPr>
        <w:t>, ou diretamente em um dos protocolos da ANP</w:t>
      </w:r>
      <w:r w:rsidR="00570C4C" w:rsidRPr="00295146">
        <w:rPr>
          <w:rFonts w:asciiTheme="minorHAnsi" w:eastAsia="Arial Unicode MS" w:hAnsiTheme="minorHAnsi" w:cstheme="minorHAnsi"/>
          <w:sz w:val="22"/>
          <w:szCs w:val="22"/>
        </w:rPr>
        <w:t xml:space="preserve"> indicado</w:t>
      </w:r>
      <w:r w:rsidRPr="00295146">
        <w:rPr>
          <w:rFonts w:asciiTheme="minorHAnsi" w:eastAsia="Arial Unicode MS" w:hAnsiTheme="minorHAnsi" w:cstheme="minorHAnsi"/>
          <w:sz w:val="22"/>
          <w:szCs w:val="22"/>
        </w:rPr>
        <w:t xml:space="preserve"> no item 2.1 do Aviso</w:t>
      </w:r>
      <w:r w:rsidR="00570C4C" w:rsidRPr="00295146">
        <w:rPr>
          <w:rFonts w:asciiTheme="minorHAnsi" w:eastAsia="Arial Unicode MS" w:hAnsiTheme="minorHAnsi" w:cstheme="minorHAnsi"/>
          <w:sz w:val="22"/>
          <w:szCs w:val="22"/>
        </w:rPr>
        <w:t xml:space="preserve"> da Consulta Pública.</w:t>
      </w:r>
    </w:p>
    <w:sectPr w:rsidR="004602FD" w:rsidRPr="00295146" w:rsidSect="003802CE">
      <w:pgSz w:w="16840" w:h="11907" w:orient="landscape" w:code="9"/>
      <w:pgMar w:top="0" w:right="1418"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171446"/>
    <w:multiLevelType w:val="multilevel"/>
    <w:tmpl w:val="7B283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C8C1492"/>
    <w:multiLevelType w:val="hybridMultilevel"/>
    <w:tmpl w:val="A35220E6"/>
    <w:lvl w:ilvl="0" w:tplc="76669F44">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741813C9"/>
    <w:multiLevelType w:val="multilevel"/>
    <w:tmpl w:val="DF6E21D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9EB0519"/>
    <w:multiLevelType w:val="hybridMultilevel"/>
    <w:tmpl w:val="C98CAEEC"/>
    <w:lvl w:ilvl="0" w:tplc="D16CADDE">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42C"/>
    <w:rsid w:val="0000478E"/>
    <w:rsid w:val="00011C7C"/>
    <w:rsid w:val="000303C4"/>
    <w:rsid w:val="00045F77"/>
    <w:rsid w:val="00075187"/>
    <w:rsid w:val="0007581B"/>
    <w:rsid w:val="00083473"/>
    <w:rsid w:val="000873C6"/>
    <w:rsid w:val="00091713"/>
    <w:rsid w:val="000C44CC"/>
    <w:rsid w:val="000C742C"/>
    <w:rsid w:val="000D7BC1"/>
    <w:rsid w:val="000E2A0D"/>
    <w:rsid w:val="000E37D1"/>
    <w:rsid w:val="000F3178"/>
    <w:rsid w:val="000F43D7"/>
    <w:rsid w:val="000F597D"/>
    <w:rsid w:val="00100689"/>
    <w:rsid w:val="00140A37"/>
    <w:rsid w:val="00141BC6"/>
    <w:rsid w:val="001950B9"/>
    <w:rsid w:val="001A0ED0"/>
    <w:rsid w:val="001B47FF"/>
    <w:rsid w:val="001C4A36"/>
    <w:rsid w:val="001C77E8"/>
    <w:rsid w:val="001F74A0"/>
    <w:rsid w:val="0020614C"/>
    <w:rsid w:val="002109D6"/>
    <w:rsid w:val="00241E08"/>
    <w:rsid w:val="0026582D"/>
    <w:rsid w:val="002808DC"/>
    <w:rsid w:val="00281D77"/>
    <w:rsid w:val="00287B41"/>
    <w:rsid w:val="00295146"/>
    <w:rsid w:val="002D04EC"/>
    <w:rsid w:val="003058EE"/>
    <w:rsid w:val="0030756A"/>
    <w:rsid w:val="003246C5"/>
    <w:rsid w:val="0034067A"/>
    <w:rsid w:val="003802CE"/>
    <w:rsid w:val="003C55A7"/>
    <w:rsid w:val="003D1124"/>
    <w:rsid w:val="003E21FC"/>
    <w:rsid w:val="00413254"/>
    <w:rsid w:val="00425E7B"/>
    <w:rsid w:val="004269E2"/>
    <w:rsid w:val="00433B98"/>
    <w:rsid w:val="004602FD"/>
    <w:rsid w:val="004611CC"/>
    <w:rsid w:val="00471814"/>
    <w:rsid w:val="00482F43"/>
    <w:rsid w:val="004A732F"/>
    <w:rsid w:val="004B0786"/>
    <w:rsid w:val="004E7982"/>
    <w:rsid w:val="004F3BAD"/>
    <w:rsid w:val="00516F2E"/>
    <w:rsid w:val="0055459A"/>
    <w:rsid w:val="00566904"/>
    <w:rsid w:val="00570C4C"/>
    <w:rsid w:val="00577A87"/>
    <w:rsid w:val="00586DD3"/>
    <w:rsid w:val="00593EC1"/>
    <w:rsid w:val="005B330A"/>
    <w:rsid w:val="005D66E3"/>
    <w:rsid w:val="005E15DB"/>
    <w:rsid w:val="00601255"/>
    <w:rsid w:val="0062638B"/>
    <w:rsid w:val="006525A6"/>
    <w:rsid w:val="00662399"/>
    <w:rsid w:val="00671BBE"/>
    <w:rsid w:val="006B1787"/>
    <w:rsid w:val="006C5363"/>
    <w:rsid w:val="006C7878"/>
    <w:rsid w:val="00725A31"/>
    <w:rsid w:val="00735912"/>
    <w:rsid w:val="00762754"/>
    <w:rsid w:val="00791031"/>
    <w:rsid w:val="007949A1"/>
    <w:rsid w:val="007A5C55"/>
    <w:rsid w:val="007B6D8C"/>
    <w:rsid w:val="007D1DE4"/>
    <w:rsid w:val="007D7833"/>
    <w:rsid w:val="007E0140"/>
    <w:rsid w:val="007E2803"/>
    <w:rsid w:val="007F30A1"/>
    <w:rsid w:val="00832A89"/>
    <w:rsid w:val="00842D30"/>
    <w:rsid w:val="0085243A"/>
    <w:rsid w:val="00852D24"/>
    <w:rsid w:val="008C0A6C"/>
    <w:rsid w:val="008C20CB"/>
    <w:rsid w:val="008D19DD"/>
    <w:rsid w:val="008E1D4F"/>
    <w:rsid w:val="008F10AD"/>
    <w:rsid w:val="008F4536"/>
    <w:rsid w:val="00902444"/>
    <w:rsid w:val="00902A6D"/>
    <w:rsid w:val="00910CA2"/>
    <w:rsid w:val="009158FE"/>
    <w:rsid w:val="00925071"/>
    <w:rsid w:val="00935E2F"/>
    <w:rsid w:val="00983590"/>
    <w:rsid w:val="009A4F78"/>
    <w:rsid w:val="009A7203"/>
    <w:rsid w:val="009D70B6"/>
    <w:rsid w:val="009E1DF5"/>
    <w:rsid w:val="009E5AD5"/>
    <w:rsid w:val="00A4449D"/>
    <w:rsid w:val="00A81674"/>
    <w:rsid w:val="00A82BF1"/>
    <w:rsid w:val="00A90936"/>
    <w:rsid w:val="00A94E85"/>
    <w:rsid w:val="00AB6AEA"/>
    <w:rsid w:val="00B05AD9"/>
    <w:rsid w:val="00B26ABF"/>
    <w:rsid w:val="00B402AA"/>
    <w:rsid w:val="00B57C7F"/>
    <w:rsid w:val="00B63872"/>
    <w:rsid w:val="00B64E55"/>
    <w:rsid w:val="00B74C89"/>
    <w:rsid w:val="00B83F89"/>
    <w:rsid w:val="00BB004F"/>
    <w:rsid w:val="00BD11E4"/>
    <w:rsid w:val="00BD5993"/>
    <w:rsid w:val="00BF7D73"/>
    <w:rsid w:val="00C0392D"/>
    <w:rsid w:val="00C04D31"/>
    <w:rsid w:val="00C13A89"/>
    <w:rsid w:val="00C13AAD"/>
    <w:rsid w:val="00C47AF3"/>
    <w:rsid w:val="00C501A6"/>
    <w:rsid w:val="00C54829"/>
    <w:rsid w:val="00C6536B"/>
    <w:rsid w:val="00C6564E"/>
    <w:rsid w:val="00C7517C"/>
    <w:rsid w:val="00C92292"/>
    <w:rsid w:val="00C934B2"/>
    <w:rsid w:val="00CC5987"/>
    <w:rsid w:val="00CD7D9E"/>
    <w:rsid w:val="00CE1E21"/>
    <w:rsid w:val="00CE349E"/>
    <w:rsid w:val="00CE48A0"/>
    <w:rsid w:val="00CF2605"/>
    <w:rsid w:val="00CF534B"/>
    <w:rsid w:val="00D05DA9"/>
    <w:rsid w:val="00D060D3"/>
    <w:rsid w:val="00D1766D"/>
    <w:rsid w:val="00D33726"/>
    <w:rsid w:val="00D47621"/>
    <w:rsid w:val="00D7604F"/>
    <w:rsid w:val="00D85DCE"/>
    <w:rsid w:val="00D86441"/>
    <w:rsid w:val="00DE21F8"/>
    <w:rsid w:val="00DF751C"/>
    <w:rsid w:val="00E36A73"/>
    <w:rsid w:val="00E47FDE"/>
    <w:rsid w:val="00E51418"/>
    <w:rsid w:val="00E547DA"/>
    <w:rsid w:val="00E60909"/>
    <w:rsid w:val="00E6659B"/>
    <w:rsid w:val="00EA32C5"/>
    <w:rsid w:val="00EB3453"/>
    <w:rsid w:val="00ED4FA0"/>
    <w:rsid w:val="00ED7714"/>
    <w:rsid w:val="00F45913"/>
    <w:rsid w:val="00F60A7B"/>
    <w:rsid w:val="00F76292"/>
    <w:rsid w:val="00F925B5"/>
    <w:rsid w:val="00FD2C11"/>
    <w:rsid w:val="00FF49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3F0B671F-8F91-4D92-96F1-6ADB88F75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rsid w:val="00CF2605"/>
    <w:pPr>
      <w:autoSpaceDE w:val="0"/>
      <w:autoSpaceDN w:val="0"/>
      <w:adjustRightInd w:val="0"/>
      <w:jc w:val="both"/>
    </w:pPr>
    <w:rPr>
      <w:color w:val="000000"/>
      <w:sz w:val="24"/>
      <w:szCs w:val="24"/>
    </w:rPr>
  </w:style>
  <w:style w:type="character" w:customStyle="1" w:styleId="CorpodetextoChar">
    <w:name w:val="Corpo de texto Char"/>
    <w:link w:val="Corpodetexto"/>
    <w:semiHidden/>
    <w:rsid w:val="00CF2605"/>
    <w:rPr>
      <w:color w:val="000000"/>
      <w:sz w:val="24"/>
      <w:szCs w:val="24"/>
    </w:rPr>
  </w:style>
  <w:style w:type="paragraph" w:styleId="Legenda">
    <w:name w:val="caption"/>
    <w:basedOn w:val="Normal"/>
    <w:next w:val="Normal"/>
    <w:qFormat/>
    <w:rsid w:val="00BD5993"/>
    <w:rPr>
      <w:rFonts w:ascii="Arial" w:hAnsi="Arial"/>
      <w:sz w:val="24"/>
    </w:rPr>
  </w:style>
  <w:style w:type="character" w:styleId="Hyperlink">
    <w:name w:val="Hyperlink"/>
    <w:uiPriority w:val="99"/>
    <w:unhideWhenUsed/>
    <w:rsid w:val="00100689"/>
    <w:rPr>
      <w:color w:val="0000FF"/>
      <w:u w:val="single"/>
    </w:rPr>
  </w:style>
  <w:style w:type="paragraph" w:styleId="Textodecomentrio">
    <w:name w:val="annotation text"/>
    <w:basedOn w:val="Normal"/>
    <w:link w:val="TextodecomentrioChar"/>
    <w:uiPriority w:val="99"/>
    <w:unhideWhenUsed/>
    <w:rsid w:val="00B26ABF"/>
    <w:pPr>
      <w:spacing w:after="200"/>
    </w:pPr>
    <w:rPr>
      <w:rFonts w:ascii="Calibri" w:hAnsi="Calibri"/>
    </w:rPr>
  </w:style>
  <w:style w:type="character" w:customStyle="1" w:styleId="TextodecomentrioChar">
    <w:name w:val="Texto de comentário Char"/>
    <w:link w:val="Textodecomentrio"/>
    <w:uiPriority w:val="99"/>
    <w:rsid w:val="00B26ABF"/>
    <w:rPr>
      <w:rFonts w:ascii="Calibri" w:hAnsi="Calibri"/>
    </w:rPr>
  </w:style>
  <w:style w:type="paragraph" w:customStyle="1" w:styleId="Default">
    <w:name w:val="Default"/>
    <w:rsid w:val="00D85DCE"/>
    <w:pPr>
      <w:autoSpaceDE w:val="0"/>
      <w:autoSpaceDN w:val="0"/>
      <w:adjustRightInd w:val="0"/>
    </w:pPr>
    <w:rPr>
      <w:color w:val="000000"/>
      <w:sz w:val="24"/>
      <w:szCs w:val="24"/>
    </w:rPr>
  </w:style>
  <w:style w:type="paragraph" w:styleId="Textodebalo">
    <w:name w:val="Balloon Text"/>
    <w:basedOn w:val="Normal"/>
    <w:link w:val="TextodebaloChar"/>
    <w:uiPriority w:val="99"/>
    <w:semiHidden/>
    <w:unhideWhenUsed/>
    <w:rsid w:val="00241E08"/>
    <w:rPr>
      <w:rFonts w:ascii="Segoe UI" w:hAnsi="Segoe UI" w:cs="Segoe UI"/>
      <w:sz w:val="18"/>
      <w:szCs w:val="18"/>
    </w:rPr>
  </w:style>
  <w:style w:type="character" w:customStyle="1" w:styleId="TextodebaloChar">
    <w:name w:val="Texto de balão Char"/>
    <w:basedOn w:val="Fontepargpadro"/>
    <w:link w:val="Textodebalo"/>
    <w:uiPriority w:val="99"/>
    <w:semiHidden/>
    <w:rsid w:val="00241E08"/>
    <w:rPr>
      <w:rFonts w:ascii="Segoe UI" w:hAnsi="Segoe UI" w:cs="Segoe UI"/>
      <w:sz w:val="18"/>
      <w:szCs w:val="18"/>
    </w:rPr>
  </w:style>
  <w:style w:type="paragraph" w:styleId="Reviso">
    <w:name w:val="Revision"/>
    <w:hidden/>
    <w:uiPriority w:val="99"/>
    <w:semiHidden/>
    <w:rsid w:val="00241E08"/>
  </w:style>
  <w:style w:type="paragraph" w:styleId="PargrafodaLista">
    <w:name w:val="List Paragraph"/>
    <w:basedOn w:val="Normal"/>
    <w:uiPriority w:val="34"/>
    <w:qFormat/>
    <w:rsid w:val="003C55A7"/>
    <w:pPr>
      <w:ind w:left="720"/>
      <w:contextualSpacing/>
    </w:pPr>
  </w:style>
  <w:style w:type="paragraph" w:styleId="TextosemFormatao">
    <w:name w:val="Plain Text"/>
    <w:basedOn w:val="Normal"/>
    <w:link w:val="TextosemFormataoChar"/>
    <w:uiPriority w:val="99"/>
    <w:unhideWhenUsed/>
    <w:rsid w:val="007D7833"/>
    <w:rPr>
      <w:rFonts w:ascii="Calibri" w:eastAsiaTheme="minorHAnsi" w:hAnsi="Calibri"/>
      <w:sz w:val="22"/>
      <w:szCs w:val="22"/>
      <w:lang w:eastAsia="en-US"/>
    </w:rPr>
  </w:style>
  <w:style w:type="character" w:customStyle="1" w:styleId="TextosemFormataoChar">
    <w:name w:val="Texto sem Formatação Char"/>
    <w:basedOn w:val="Fontepargpadro"/>
    <w:link w:val="TextosemFormatao"/>
    <w:uiPriority w:val="99"/>
    <w:rsid w:val="007D7833"/>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718915">
      <w:bodyDiv w:val="1"/>
      <w:marLeft w:val="0"/>
      <w:marRight w:val="0"/>
      <w:marTop w:val="0"/>
      <w:marBottom w:val="0"/>
      <w:divBdr>
        <w:top w:val="none" w:sz="0" w:space="0" w:color="auto"/>
        <w:left w:val="none" w:sz="0" w:space="0" w:color="auto"/>
        <w:bottom w:val="none" w:sz="0" w:space="0" w:color="auto"/>
        <w:right w:val="none" w:sz="0" w:space="0" w:color="auto"/>
      </w:divBdr>
    </w:div>
    <w:div w:id="1058868180">
      <w:bodyDiv w:val="1"/>
      <w:marLeft w:val="0"/>
      <w:marRight w:val="0"/>
      <w:marTop w:val="0"/>
      <w:marBottom w:val="0"/>
      <w:divBdr>
        <w:top w:val="none" w:sz="0" w:space="0" w:color="auto"/>
        <w:left w:val="none" w:sz="0" w:space="0" w:color="auto"/>
        <w:bottom w:val="none" w:sz="0" w:space="0" w:color="auto"/>
        <w:right w:val="none" w:sz="0" w:space="0" w:color="auto"/>
      </w:divBdr>
    </w:div>
    <w:div w:id="120829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C5803-C1D0-467A-A500-B3D8B9ADE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3543</Words>
  <Characters>19913</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CONSULTA PÚBLICA PARA REVISÃO DA PORTARIA ANP 248/99</vt:lpstr>
    </vt:vector>
  </TitlesOfParts>
  <Company>Anp</Company>
  <LinksUpToDate>false</LinksUpToDate>
  <CharactersWithSpaces>23410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 PÚBLICA PARA REVISÃO DA PORTARIA ANP 248/99</dc:title>
  <dc:creator>Anp</dc:creator>
  <cp:lastModifiedBy>Renata Camargo</cp:lastModifiedBy>
  <cp:revision>2</cp:revision>
  <cp:lastPrinted>2010-12-28T17:08:00Z</cp:lastPrinted>
  <dcterms:created xsi:type="dcterms:W3CDTF">2018-05-25T18:46:00Z</dcterms:created>
  <dcterms:modified xsi:type="dcterms:W3CDTF">2018-05-25T18:46:00Z</dcterms:modified>
</cp:coreProperties>
</file>